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6" w:rsidRPr="003A32F1" w:rsidRDefault="00941423" w:rsidP="00941423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D7515E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9375C2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E334EB" w:rsidRDefault="009F52E0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D30644" w:rsidRPr="00E334EB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="00D30644" w:rsidRPr="00E334EB">
        <w:rPr>
          <w:rFonts w:ascii="Times New Roman" w:hAnsi="Times New Roman"/>
          <w:b/>
          <w:sz w:val="24"/>
          <w:szCs w:val="24"/>
        </w:rPr>
        <w:t xml:space="preserve"> 01</w:t>
      </w:r>
      <w:r w:rsidR="00DD7862" w:rsidRPr="00E334EB">
        <w:rPr>
          <w:rFonts w:ascii="Times New Roman" w:hAnsi="Times New Roman"/>
          <w:b/>
          <w:sz w:val="24"/>
          <w:szCs w:val="24"/>
        </w:rPr>
        <w:t xml:space="preserve"> апреля 2017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E33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E0070C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>11</w:t>
      </w:r>
      <w:r w:rsidR="00DD7862" w:rsidRPr="00E334EB">
        <w:rPr>
          <w:rFonts w:ascii="Times New Roman" w:hAnsi="Times New Roman"/>
          <w:sz w:val="24"/>
          <w:szCs w:val="24"/>
        </w:rPr>
        <w:t>.05.2017</w:t>
      </w:r>
      <w:r w:rsidR="009F52E0" w:rsidRPr="00E334E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г. Вытегра</w:t>
      </w:r>
    </w:p>
    <w:p w:rsidR="009F52E0" w:rsidRPr="00E334EB" w:rsidRDefault="009F52E0" w:rsidP="00E3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DD7862" w:rsidRPr="00E334EB">
        <w:rPr>
          <w:rFonts w:ascii="Times New Roman" w:hAnsi="Times New Roman"/>
          <w:sz w:val="24"/>
          <w:szCs w:val="24"/>
        </w:rPr>
        <w:t>)  на</w:t>
      </w:r>
      <w:proofErr w:type="gramEnd"/>
      <w:r w:rsidR="00DD7862" w:rsidRPr="00E334EB">
        <w:rPr>
          <w:rFonts w:ascii="Times New Roman" w:hAnsi="Times New Roman"/>
          <w:sz w:val="24"/>
          <w:szCs w:val="24"/>
        </w:rPr>
        <w:t xml:space="preserve"> 01 апреля 2017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983F25" w:rsidRPr="00E334EB" w:rsidRDefault="00BA764D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за 1 </w:t>
      </w:r>
      <w:proofErr w:type="gramStart"/>
      <w:r w:rsidR="00DD7862" w:rsidRPr="00E334EB">
        <w:rPr>
          <w:rFonts w:ascii="Times New Roman" w:hAnsi="Times New Roman"/>
          <w:sz w:val="24"/>
          <w:szCs w:val="24"/>
          <w:lang w:eastAsia="ru-RU"/>
        </w:rPr>
        <w:t>квартал  2017</w:t>
      </w:r>
      <w:proofErr w:type="gramEnd"/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инистрации МО «Город Вытегра» 26.04.2017 г. № 163 «Об исполнении бюджета муниципального образования «Город Вытегра» за 1 квартал 2017 года»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2272" w:rsidRPr="00E334EB" w:rsidRDefault="000A3150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на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от 26.12.2016 года № 203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2017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годов» по доходам в сумме 31487,5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тыс. рублей, по расх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одам в сумме 34476,7 тыс. рублей, Бюджет принят с дефицитом в сумме 2989,2 тыс.рублей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В течение 1 квартала 2017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7F2272" w:rsidRPr="00E334EB" w:rsidRDefault="007F2272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объем доходов 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увеличился на </w:t>
      </w:r>
      <w:r w:rsidR="00535C77" w:rsidRPr="00E334EB">
        <w:rPr>
          <w:rFonts w:ascii="Times New Roman" w:hAnsi="Times New Roman"/>
          <w:sz w:val="24"/>
          <w:szCs w:val="24"/>
          <w:lang w:eastAsia="ru-RU"/>
        </w:rPr>
        <w:t>1004,0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тыс.рублей или на </w:t>
      </w:r>
      <w:r w:rsidR="00535C77" w:rsidRPr="00E334EB">
        <w:rPr>
          <w:rFonts w:ascii="Times New Roman" w:hAnsi="Times New Roman"/>
          <w:sz w:val="24"/>
          <w:szCs w:val="24"/>
          <w:lang w:eastAsia="ru-RU"/>
        </w:rPr>
        <w:t>3,2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763D" w:rsidRPr="00E334EB">
        <w:rPr>
          <w:rFonts w:ascii="Times New Roman" w:hAnsi="Times New Roman"/>
          <w:sz w:val="24"/>
          <w:szCs w:val="24"/>
          <w:lang w:eastAsia="ru-RU"/>
        </w:rPr>
        <w:t>%  и</w:t>
      </w:r>
      <w:proofErr w:type="gramEnd"/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535C77" w:rsidRPr="00E334EB">
        <w:rPr>
          <w:rFonts w:ascii="Times New Roman" w:hAnsi="Times New Roman"/>
          <w:sz w:val="24"/>
          <w:szCs w:val="24"/>
          <w:lang w:eastAsia="ru-RU"/>
        </w:rPr>
        <w:t>32491,5</w:t>
      </w:r>
      <w:r w:rsidR="00803F19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3F19" w:rsidRPr="00E334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E334EB">
        <w:rPr>
          <w:rFonts w:ascii="Times New Roman" w:hAnsi="Times New Roman"/>
          <w:sz w:val="24"/>
          <w:szCs w:val="24"/>
          <w:lang w:eastAsia="ru-RU"/>
        </w:rPr>
        <w:t>;</w:t>
      </w:r>
    </w:p>
    <w:p w:rsidR="007F2272" w:rsidRPr="00E334EB" w:rsidRDefault="00535C77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- объем расходов сократился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E334EB">
        <w:rPr>
          <w:rFonts w:ascii="Times New Roman" w:hAnsi="Times New Roman"/>
          <w:sz w:val="24"/>
          <w:szCs w:val="24"/>
          <w:lang w:eastAsia="ru-RU"/>
        </w:rPr>
        <w:t>348,1</w:t>
      </w:r>
      <w:r w:rsidR="00803F19" w:rsidRPr="00E334EB">
        <w:rPr>
          <w:rFonts w:ascii="Times New Roman" w:hAnsi="Times New Roman"/>
          <w:sz w:val="24"/>
          <w:szCs w:val="24"/>
          <w:lang w:eastAsia="ru-RU"/>
        </w:rPr>
        <w:t xml:space="preserve"> тыс.рублей или на </w:t>
      </w:r>
      <w:r w:rsidRPr="00E334EB">
        <w:rPr>
          <w:rFonts w:ascii="Times New Roman" w:hAnsi="Times New Roman"/>
          <w:sz w:val="24"/>
          <w:szCs w:val="24"/>
          <w:lang w:eastAsia="ru-RU"/>
        </w:rPr>
        <w:t>1,0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% и составил </w:t>
      </w:r>
      <w:r w:rsidRPr="00E334EB">
        <w:rPr>
          <w:rFonts w:ascii="Times New Roman" w:hAnsi="Times New Roman"/>
          <w:sz w:val="24"/>
          <w:szCs w:val="24"/>
          <w:lang w:eastAsia="ru-RU"/>
        </w:rPr>
        <w:t>34128,6</w:t>
      </w:r>
      <w:r w:rsidR="009E079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E0795" w:rsidRPr="00E334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E0795" w:rsidRPr="00E334EB">
        <w:rPr>
          <w:rFonts w:ascii="Times New Roman" w:hAnsi="Times New Roman"/>
          <w:sz w:val="24"/>
          <w:szCs w:val="24"/>
          <w:lang w:eastAsia="ru-RU"/>
        </w:rPr>
        <w:t>;</w:t>
      </w:r>
    </w:p>
    <w:p w:rsidR="009E0795" w:rsidRPr="00E334EB" w:rsidRDefault="009E0795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-дефицит бюджета составил </w:t>
      </w:r>
      <w:r w:rsidR="00535C77" w:rsidRPr="00E334EB">
        <w:rPr>
          <w:rFonts w:ascii="Times New Roman" w:hAnsi="Times New Roman"/>
          <w:sz w:val="24"/>
          <w:szCs w:val="24"/>
          <w:lang w:eastAsia="ru-RU"/>
        </w:rPr>
        <w:t>1637,1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334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E334EB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E334EB" w:rsidRDefault="00BA764D" w:rsidP="00E334EB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E334EB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E334EB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Pr="0028413C" w:rsidRDefault="00DD7862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За 1 квартал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E334EB">
        <w:rPr>
          <w:rFonts w:ascii="Times New Roman" w:hAnsi="Times New Roman"/>
          <w:sz w:val="24"/>
          <w:szCs w:val="24"/>
          <w:lang w:eastAsia="ru-RU"/>
        </w:rPr>
        <w:t>26.12.2016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203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Pr="00E334EB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>плановый период 2018 и 2019 годов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>2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>а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>вносились изменения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4E6A97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4E6A9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4E6A97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5866,0</w:t>
            </w:r>
          </w:p>
        </w:tc>
        <w:tc>
          <w:tcPr>
            <w:tcW w:w="1842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32491,5</w:t>
            </w:r>
          </w:p>
        </w:tc>
        <w:tc>
          <w:tcPr>
            <w:tcW w:w="1595" w:type="dxa"/>
          </w:tcPr>
          <w:p w:rsidR="00B90F89" w:rsidRPr="0028413C" w:rsidRDefault="004E6A9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6075,6</w:t>
            </w:r>
          </w:p>
        </w:tc>
        <w:tc>
          <w:tcPr>
            <w:tcW w:w="1595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18,7 %</w:t>
            </w:r>
          </w:p>
        </w:tc>
        <w:tc>
          <w:tcPr>
            <w:tcW w:w="1596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103,6 %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5870,6</w:t>
            </w:r>
          </w:p>
        </w:tc>
        <w:tc>
          <w:tcPr>
            <w:tcW w:w="1842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34128,6</w:t>
            </w:r>
          </w:p>
        </w:tc>
        <w:tc>
          <w:tcPr>
            <w:tcW w:w="1595" w:type="dxa"/>
          </w:tcPr>
          <w:p w:rsidR="00B90F89" w:rsidRPr="0028413C" w:rsidRDefault="004E6A9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7352,5</w:t>
            </w:r>
          </w:p>
        </w:tc>
        <w:tc>
          <w:tcPr>
            <w:tcW w:w="1595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21,5 %</w:t>
            </w:r>
          </w:p>
        </w:tc>
        <w:tc>
          <w:tcPr>
            <w:tcW w:w="1596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125,2 %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842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-1637,1</w:t>
            </w:r>
          </w:p>
        </w:tc>
        <w:tc>
          <w:tcPr>
            <w:tcW w:w="1595" w:type="dxa"/>
          </w:tcPr>
          <w:p w:rsidR="00B90F89" w:rsidRPr="0028413C" w:rsidRDefault="004E6A9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1276,9</w:t>
            </w:r>
          </w:p>
        </w:tc>
        <w:tc>
          <w:tcPr>
            <w:tcW w:w="1595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</w:p>
    <w:p w:rsidR="00BA764D" w:rsidRPr="0028413C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28413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За 3 месяца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E6A97" w:rsidRPr="0028413C">
        <w:rPr>
          <w:rFonts w:ascii="Times New Roman" w:hAnsi="Times New Roman"/>
          <w:bCs/>
          <w:sz w:val="24"/>
          <w:szCs w:val="24"/>
          <w:lang w:eastAsia="ru-RU"/>
        </w:rPr>
        <w:t>6075,6</w:t>
      </w:r>
      <w:r w:rsidR="00535C77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18,7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28413C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28413C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5C77" w:rsidRPr="0028413C">
        <w:rPr>
          <w:rFonts w:ascii="Times New Roman" w:hAnsi="Times New Roman"/>
          <w:sz w:val="24"/>
          <w:szCs w:val="24"/>
          <w:lang w:eastAsia="ru-RU"/>
        </w:rPr>
        <w:t>103,6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гичного периода 2016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535C77" w:rsidRPr="0028413C">
        <w:rPr>
          <w:rFonts w:ascii="Times New Roman" w:hAnsi="Times New Roman"/>
          <w:sz w:val="24"/>
          <w:szCs w:val="24"/>
          <w:lang w:eastAsia="ru-RU"/>
        </w:rPr>
        <w:t>21,5</w:t>
      </w:r>
      <w:r w:rsidR="00672A19" w:rsidRPr="0028413C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и составили 7352,5</w:t>
      </w:r>
      <w:r w:rsidR="00672A19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28413C">
        <w:rPr>
          <w:rFonts w:ascii="Times New Roman" w:hAnsi="Times New Roman"/>
          <w:sz w:val="24"/>
          <w:szCs w:val="24"/>
          <w:lang w:eastAsia="ru-RU"/>
        </w:rPr>
        <w:t>(</w:t>
      </w:r>
      <w:r w:rsidR="00535C77" w:rsidRPr="0028413C">
        <w:rPr>
          <w:rFonts w:ascii="Times New Roman" w:hAnsi="Times New Roman"/>
          <w:sz w:val="24"/>
          <w:szCs w:val="24"/>
          <w:lang w:eastAsia="ru-RU"/>
        </w:rPr>
        <w:t>125,2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28413C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016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28413C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5758</w:t>
      </w:r>
      <w:proofErr w:type="gramEnd"/>
      <w:r w:rsidR="004E6A97" w:rsidRPr="0028413C">
        <w:rPr>
          <w:rFonts w:ascii="Times New Roman" w:hAnsi="Times New Roman"/>
          <w:sz w:val="24"/>
          <w:szCs w:val="24"/>
          <w:lang w:eastAsia="ru-RU"/>
        </w:rPr>
        <w:t>,2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535C77" w:rsidRPr="0028413C">
        <w:rPr>
          <w:rFonts w:ascii="Times New Roman" w:hAnsi="Times New Roman"/>
          <w:sz w:val="24"/>
          <w:szCs w:val="24"/>
          <w:lang w:eastAsia="ru-RU"/>
        </w:rPr>
        <w:t>18,6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го периода 2016</w:t>
      </w:r>
      <w:r w:rsidR="0062070E" w:rsidRPr="0028413C">
        <w:rPr>
          <w:rFonts w:ascii="Times New Roman" w:hAnsi="Times New Roman"/>
          <w:sz w:val="24"/>
          <w:szCs w:val="24"/>
          <w:lang w:eastAsia="ru-RU"/>
        </w:rPr>
        <w:t xml:space="preserve"> года произошло увеличение</w:t>
      </w:r>
      <w:r w:rsidR="00B90F89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90F89" w:rsidRPr="0028413C">
        <w:rPr>
          <w:rFonts w:ascii="Times New Roman" w:hAnsi="Times New Roman"/>
          <w:sz w:val="24"/>
          <w:szCs w:val="24"/>
          <w:lang w:eastAsia="ru-RU"/>
        </w:rPr>
        <w:t>поступления  доходов</w:t>
      </w:r>
      <w:proofErr w:type="gramEnd"/>
      <w:r w:rsidR="00B90F89" w:rsidRPr="0028413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35C77" w:rsidRPr="0028413C">
        <w:rPr>
          <w:rFonts w:ascii="Times New Roman" w:hAnsi="Times New Roman"/>
          <w:sz w:val="24"/>
          <w:szCs w:val="24"/>
          <w:lang w:eastAsia="ru-RU"/>
        </w:rPr>
        <w:t>348,2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2841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35C77" w:rsidRPr="0028413C">
        <w:rPr>
          <w:rFonts w:ascii="Times New Roman" w:hAnsi="Times New Roman"/>
          <w:sz w:val="24"/>
          <w:szCs w:val="24"/>
          <w:lang w:eastAsia="ru-RU"/>
        </w:rPr>
        <w:t>+6,4</w:t>
      </w:r>
      <w:r w:rsidR="00672A19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28413C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дефицит бюджета МО составил 1276,9</w:t>
      </w:r>
      <w:r w:rsidR="004B763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28413C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 xml:space="preserve">  по состоянию на 1 апреля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с аналогичным периодом 2016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BA764D" w:rsidRPr="0028413C" w:rsidRDefault="00BA764D" w:rsidP="002841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Испо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лнение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4E6A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E6A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E6A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5866,0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32491,5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A16C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6075,6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5410,0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30904,0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A16C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5758,2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535C7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1587,5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A16C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1269,5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A16C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BD1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28413C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28413C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за 1 квартал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7</w:t>
      </w:r>
      <w:r w:rsidR="007A293C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6075,6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28413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18,7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28413C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4878,3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28413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28413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84,7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28413C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879,9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4DC5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E4DC5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 xml:space="preserve">бъёме поступлений составила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94,8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 xml:space="preserve"> % или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5758,2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. рублей и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18,6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плана. </w:t>
      </w:r>
    </w:p>
    <w:p w:rsidR="004E510F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к Заключению.</w:t>
      </w: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Налоговые доходы:</w:t>
      </w:r>
    </w:p>
    <w:p w:rsidR="004E510F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21,8 % и составил 3880,2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-налоги на совоку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пный налог поступили в сумме 0,7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(единый сельскохозяйственный налог)</w:t>
      </w:r>
      <w:r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28413C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на территории РФ составило 17,0 % или 279,0</w:t>
      </w:r>
      <w:r w:rsidR="0012144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21445"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-налог на и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мущество поступил в сумме 718,4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ние 9,1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имущество физических лиц – 254,7 тыс.рублей (исполнение 5,1 %), земельный налог – 463,7 </w:t>
      </w:r>
      <w:proofErr w:type="spellStart"/>
      <w:r w:rsidR="007B4AFA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(исполнение 16,1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%).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Неналоговые доходы: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енности поступили в сумме 713,4 тыс.рублей или 22,1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 из них доходы, получаемые в виде арендной пла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ты за земельные участки – 329,6 тыс.рублей (исполнение 20,0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%), доходы от 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сдачи в аренду имущества – 174,5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рублей (исполнение 35,4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%), прочие доходы от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209,2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16,2</w:t>
      </w:r>
      <w:r w:rsidR="00C04AF4" w:rsidRPr="0028413C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C04AF4" w:rsidRPr="0028413C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-поступление доходов от оказа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ния платных услуг составило 16,8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713FF" w:rsidRPr="0028413C">
        <w:rPr>
          <w:rFonts w:ascii="Times New Roman" w:hAnsi="Times New Roman"/>
          <w:sz w:val="24"/>
          <w:szCs w:val="24"/>
          <w:lang w:eastAsia="ru-RU"/>
        </w:rPr>
        <w:t xml:space="preserve"> (план выполнен на 420 % годовых показателей)</w:t>
      </w:r>
      <w:r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8413C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-доходы от продажи материальных и нематериальных активов (продажа земел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 xml:space="preserve">ьных участков) составили 149,6 </w:t>
      </w:r>
      <w:proofErr w:type="spellStart"/>
      <w:r w:rsidR="005713FF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713FF" w:rsidRPr="0028413C">
        <w:rPr>
          <w:rFonts w:ascii="Times New Roman" w:hAnsi="Times New Roman"/>
          <w:sz w:val="24"/>
          <w:szCs w:val="24"/>
          <w:lang w:eastAsia="ru-RU"/>
        </w:rPr>
        <w:t>, или 45,6 % годовых назначений.</w:t>
      </w:r>
    </w:p>
    <w:p w:rsidR="00BD164D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28413C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8413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8413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8413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сложил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ся по налогу на имущество – 9,1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%, в том числе по налогу на</w:t>
      </w:r>
      <w:r w:rsidR="0036397B" w:rsidRPr="0028413C">
        <w:rPr>
          <w:rFonts w:ascii="Times New Roman" w:hAnsi="Times New Roman"/>
          <w:sz w:val="24"/>
          <w:szCs w:val="24"/>
          <w:lang w:eastAsia="ru-RU"/>
        </w:rPr>
        <w:t xml:space="preserve"> имущество ф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изических лиц – 5,1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 %, по земельному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налогу – 16,1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до 1 декабря.</w:t>
      </w:r>
    </w:p>
    <w:p w:rsidR="00A2254C" w:rsidRPr="0028413C" w:rsidRDefault="00A2254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F6404" w:rsidRPr="0028413C">
        <w:rPr>
          <w:rFonts w:ascii="Times New Roman" w:hAnsi="Times New Roman"/>
          <w:sz w:val="24"/>
          <w:szCs w:val="24"/>
          <w:lang w:eastAsia="ru-RU"/>
        </w:rPr>
        <w:t xml:space="preserve">По состоянию на отчетную дату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высокий процент выполнения</w:t>
      </w:r>
      <w:r w:rsidR="00EF6404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годовых плановых</w:t>
      </w:r>
      <w:r w:rsidR="00804CF8" w:rsidRPr="0028413C">
        <w:rPr>
          <w:rFonts w:ascii="Times New Roman" w:hAnsi="Times New Roman"/>
          <w:sz w:val="24"/>
          <w:szCs w:val="24"/>
          <w:lang w:eastAsia="ru-RU"/>
        </w:rPr>
        <w:t xml:space="preserve"> пок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азателей</w:t>
      </w:r>
      <w:r w:rsidR="00EF6404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F6404" w:rsidRPr="0028413C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>доходам</w:t>
      </w:r>
      <w:proofErr w:type="gramEnd"/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 от продажи материальных</w:t>
      </w:r>
      <w:r w:rsidR="00804CF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и нематериальных активов на 45,6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 xml:space="preserve"> и по поступлениям доходов от оказания платных услуг – 420 %.</w:t>
      </w:r>
    </w:p>
    <w:p w:rsidR="00E00020" w:rsidRPr="0028413C" w:rsidRDefault="00E0002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10F" w:rsidRPr="0028413C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8413C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20,0</w:t>
      </w:r>
      <w:r w:rsidR="00C6697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% от годовых назначений.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В 1 квартале в бюджет МО поступили только дотации -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317,4</w:t>
      </w:r>
      <w:r w:rsidR="00C6697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8413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25,0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 С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>убсидии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и субвенции в 1 квартале 2017 года в бюджет МО не поступали.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28413C" w:rsidRDefault="003934BD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934BD" w:rsidRPr="0028413C" w:rsidRDefault="003934BD" w:rsidP="0028413C">
      <w:pPr>
        <w:spacing w:after="0" w:line="240" w:lineRule="auto"/>
        <w:ind w:left="8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936" w:rsidRPr="0028413C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Решением Совета 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от 26.12.2016 года № 203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бюджета был утвержден в сумме 2989,2 тыс.рублей.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 в результате образовавши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>хся остатков средств на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счетах реше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нием Городского </w:t>
      </w:r>
      <w:proofErr w:type="gramStart"/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дефицит</w:t>
      </w:r>
      <w:proofErr w:type="gramEnd"/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бюджета МО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был уточнен в сторону сокращения и составил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1637,1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64A9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A764D" w:rsidRPr="0028413C" w:rsidRDefault="00BA764D" w:rsidP="0028413C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5DA2" w:rsidRPr="0028413C" w:rsidRDefault="00BE695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По итог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ам 1 квартала 2017</w:t>
      </w:r>
      <w:r w:rsidR="005E4DC5" w:rsidRPr="0028413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де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фицит бюджета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МО в объёме 1276,9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(превышение расходов над расходами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, при годовом план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овом показателе дефицита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1637,1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Источником внутреннего финансирования дефицита бюджета МО является изменения остатков </w:t>
      </w:r>
      <w:r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37ED" w:rsidRPr="0028413C" w:rsidRDefault="008B37ED" w:rsidP="002841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E334EB" w:rsidRPr="0028413C" w:rsidRDefault="00E334EB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34EB" w:rsidRPr="0028413C" w:rsidRDefault="00E334EB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      При проверке плановых назначений отчета - в расходной части бюджета муниципального образования выявлено несоответствие показателей с принятыми поправками в решение № 203 от 26.12.2016 г. решением Городского Совета № 210 от 22 марта 2017 года. Отклонение составило 14,9 </w:t>
      </w:r>
      <w:proofErr w:type="spellStart"/>
      <w:r w:rsidRPr="0028413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A764D" w:rsidRPr="0028413C" w:rsidRDefault="00BA764D" w:rsidP="0028413C">
      <w:pPr>
        <w:spacing w:after="0" w:line="240" w:lineRule="auto"/>
        <w:ind w:left="808"/>
        <w:rPr>
          <w:rFonts w:ascii="Times New Roman" w:hAnsi="Times New Roman"/>
          <w:sz w:val="24"/>
          <w:szCs w:val="24"/>
          <w:lang w:eastAsia="ru-RU"/>
        </w:rPr>
      </w:pPr>
    </w:p>
    <w:p w:rsidR="00D208E0" w:rsidRDefault="00BA764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28413C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28413C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B12E53" w:rsidRPr="0028413C">
        <w:rPr>
          <w:rFonts w:ascii="Times New Roman" w:hAnsi="Times New Roman"/>
          <w:sz w:val="24"/>
          <w:szCs w:val="24"/>
          <w:lang w:eastAsia="ru-RU"/>
        </w:rPr>
        <w:t>7352,5</w:t>
      </w:r>
      <w:r w:rsidR="00D208E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ние – 21,5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%, к исполнению ана</w:t>
      </w:r>
      <w:r w:rsidR="00D208E0" w:rsidRPr="0028413C">
        <w:rPr>
          <w:rFonts w:ascii="Times New Roman" w:hAnsi="Times New Roman"/>
          <w:sz w:val="24"/>
          <w:szCs w:val="24"/>
          <w:lang w:eastAsia="ru-RU"/>
        </w:rPr>
        <w:t>ло</w:t>
      </w:r>
      <w:r w:rsidR="00B12E53" w:rsidRPr="0028413C">
        <w:rPr>
          <w:rFonts w:ascii="Times New Roman" w:hAnsi="Times New Roman"/>
          <w:sz w:val="24"/>
          <w:szCs w:val="24"/>
          <w:lang w:eastAsia="ru-RU"/>
        </w:rPr>
        <w:t>гичного периода 2016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125,2</w:t>
      </w:r>
      <w:r w:rsidR="00D208E0"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28413C" w:rsidRPr="0028413C" w:rsidRDefault="0028413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8E0" w:rsidRPr="0028413C" w:rsidRDefault="00D208E0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1028" w:rsidRPr="0028413C" w:rsidRDefault="00B12E53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по состоянию на 1 апреля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208E0" w:rsidRPr="00BA764D" w:rsidRDefault="00D208E0" w:rsidP="00D208E0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B12E53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12E53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, в ред. решения № 210 от 22.03.2017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713F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5870,6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713F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34128,6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7352,5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713F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21,5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713F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125,2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1694,8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9296,2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1725,9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18,6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101,8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24,9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365408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89,7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821,8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1208,8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6423,7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20,4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05E2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25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фонды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76,6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4,3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0309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2801D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2" w:rsidRPr="0028413C" w:rsidRDefault="002801D2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0310 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2801D2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0314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5693,9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12,6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87,0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0408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20,7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74,2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хозяйство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699,7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5213,9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624,9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89,3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0412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05 Жилищно-коммунальное </w:t>
            </w: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1716,6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11812,6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3203,9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27,1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186,6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0501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425,2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18,1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157,2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1523,9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33,7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259,9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1093,6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6590,6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2021,5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184,8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0505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в области жилищно-коммунального хозяйства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0701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0702 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Молодёжная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политика и оздоровление детей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в области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1087,7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26,7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110,8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1087,7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110,8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0907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в области здравоохранения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25,0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27,7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1001 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Пенсионное</w:t>
            </w:r>
            <w:proofErr w:type="gramEnd"/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27,7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семьи, материнства и детства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E6B21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23,9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128,3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 Физическая</w:t>
            </w:r>
            <w:proofErr w:type="gramEnd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9E6B21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128,3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1102  Массовый</w:t>
            </w:r>
            <w:proofErr w:type="gramEnd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9E6B21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21,0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264,0</w:t>
            </w:r>
            <w:r w:rsidR="009375C2"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1202 Периодическая печать и издательство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9E6B21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21,0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EE51AD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264,0</w:t>
            </w:r>
            <w:r w:rsidR="009375C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 трансферты</w:t>
            </w:r>
            <w:proofErr w:type="gramEnd"/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1401  Дотации</w:t>
            </w:r>
            <w:proofErr w:type="gramEnd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выравнивание бюджетной обеспеченности субъектов Российской Федерац</w:t>
            </w:r>
            <w:r w:rsidR="008A230A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8A230A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1402 Иные дотации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375C2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375C2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-1637,1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E6B21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-1276,9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375C2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375C2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ECC" w:rsidRPr="0028413C" w:rsidRDefault="008A230A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18,6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1725,9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101,8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%.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23,5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не финансировались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 xml:space="preserve"> расходы резервного фонда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,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lastRenderedPageBreak/>
        <w:t>расходы на обеспечение деятельности финансовых, налоговых и таможенных органов и органов финансового (финансово-бюджетного) надзора, расходы на обеспечение проведения выборов и референдумов.  Р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асходы на функционирование высшего должностного лица муниципального образования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в 1 квартале составили 189,3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>, что составило 24,9 % годовых назначений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представительного органа муниципального образования составило 15,3 % годового плана или 125,8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. На 20,4 % профинансированы расходы на содержание местной администрации – 1313,5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. Другие общегосударственные вопросы профинансированы 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на 25,5 % или 97,3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тыс.рублей.</w:t>
      </w:r>
      <w:proofErr w:type="spellEnd"/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муниципальных органов за 1 квартал 2017 года составили 1109,7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19,1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1A42DB" w:rsidRPr="0028413C" w:rsidRDefault="001A42DB" w:rsidP="0028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расходовании средств Резервного фонда </w:t>
      </w:r>
      <w:r w:rsidR="002C797F" w:rsidRPr="0028413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представлена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приложением </w:t>
      </w:r>
      <w:r w:rsidRPr="0028413C">
        <w:rPr>
          <w:rFonts w:ascii="Times New Roman" w:hAnsi="Times New Roman"/>
          <w:sz w:val="24"/>
          <w:szCs w:val="24"/>
          <w:lang w:eastAsia="ru-RU"/>
        </w:rPr>
        <w:t>к отчету об исполнении бюджета</w:t>
      </w:r>
      <w:r w:rsidR="002C797F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>, что является нарушением пункта 7 статьи 81 Бюджетного Кодекса РФ.</w:t>
      </w:r>
    </w:p>
    <w:p w:rsidR="009C1791" w:rsidRPr="0028413C" w:rsidRDefault="009C1791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отчетном периоде 2017 г. составило 29,7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4,3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назначений</w:t>
      </w:r>
      <w:r w:rsidR="00277565" w:rsidRPr="002841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Из них расходы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>на обеспече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ние пожарной безопасности – 29,7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A6ECC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составило 717,9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12,6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87,0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624,9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 – 87,0 %). Исполнение составило 12,0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м, а к аналогичному периоду 2016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составило 89,3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%. 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авили 93,0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 или 20,7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 </w:t>
      </w: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исполнены на 27,1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или 3203,9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ода рост составил 1487,3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34F0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им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е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ньший про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цент исполнения – 18,1 % (668,4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4496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на </w:t>
      </w:r>
      <w:r w:rsidR="00AA300D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>ное хозяйство». Финансирование расходов по подразделу «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Комм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унальное хозяйство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» составило 514,0 </w:t>
      </w:r>
      <w:proofErr w:type="spellStart"/>
      <w:r w:rsidR="0079241C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или 33,7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назначений.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за 1 квартал 2017 года составили 2021,5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ли 30,7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назначений и 184,8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2016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финансирование не осуществлялось.</w:t>
      </w:r>
    </w:p>
    <w:p w:rsidR="00983247" w:rsidRPr="0028413C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28413C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>инансирование</w:t>
      </w:r>
      <w:proofErr w:type="gramEnd"/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не осуществлялось.</w:t>
      </w:r>
    </w:p>
    <w:p w:rsidR="00BA764D" w:rsidRPr="0028413C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период  2017 года составило 26,7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1205,5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иодом 2016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года у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>ве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личение расходов составило 10,8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(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+</w:t>
      </w:r>
      <w:proofErr w:type="gramEnd"/>
      <w:r w:rsidR="0079241C" w:rsidRPr="0028413C">
        <w:rPr>
          <w:rFonts w:ascii="Times New Roman" w:hAnsi="Times New Roman"/>
          <w:sz w:val="24"/>
          <w:szCs w:val="24"/>
          <w:lang w:eastAsia="ru-RU"/>
        </w:rPr>
        <w:t>117,8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EB0FF3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- финансирование не осуществлялось. </w:t>
      </w:r>
    </w:p>
    <w:p w:rsidR="00BA764D" w:rsidRPr="0028413C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proofErr w:type="gramEnd"/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произведено в сумме 66,9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или 25,0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3247" w:rsidRPr="0028413C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отчетный период составило 380,0 </w:t>
      </w:r>
      <w:proofErr w:type="spellStart"/>
      <w:r w:rsidR="0079241C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или 23,9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назначений. По сравнению с аналогичным пер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иодом 2016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года увеличение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расходов </w:t>
      </w:r>
      <w:proofErr w:type="gram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составило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28</w:t>
      </w:r>
      <w:proofErr w:type="gramEnd"/>
      <w:r w:rsidR="0079241C" w:rsidRPr="0028413C">
        <w:rPr>
          <w:rFonts w:ascii="Times New Roman" w:hAnsi="Times New Roman"/>
          <w:sz w:val="24"/>
          <w:szCs w:val="24"/>
          <w:lang w:eastAsia="ru-RU"/>
        </w:rPr>
        <w:t>,3 % или 83,8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3247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периоде произведено в сумме 22,7 тыс.рублей или 21,0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(+164,0 % к уровню 2016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A764D" w:rsidRPr="0028413C" w:rsidRDefault="00F77CF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13 «Обслуживание государственного и муниципального долга»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не осуществлялось. </w:t>
      </w:r>
    </w:p>
    <w:p w:rsidR="008B37ED" w:rsidRPr="0028413C" w:rsidRDefault="00F77CF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 разделу 14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28413C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не осуществлялось. 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4D0EBE" w:rsidRPr="0028413C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-03 «Национальная безопасность и правоохранительная деятельность»</w:t>
      </w:r>
      <w:r w:rsidR="0079241C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- 4,3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%;</w:t>
      </w:r>
    </w:p>
    <w:p w:rsidR="004D0EBE" w:rsidRPr="0028413C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79241C" w:rsidRPr="0028413C">
        <w:rPr>
          <w:rFonts w:ascii="Times New Roman" w:hAnsi="Times New Roman"/>
          <w:bCs/>
          <w:sz w:val="24"/>
          <w:szCs w:val="24"/>
          <w:lang w:eastAsia="ru-RU"/>
        </w:rPr>
        <w:t>04 «Национальная экономика»</w:t>
      </w:r>
      <w:r w:rsidR="0034449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bCs/>
          <w:sz w:val="24"/>
          <w:szCs w:val="24"/>
          <w:lang w:eastAsia="ru-RU"/>
        </w:rPr>
        <w:t>- 12,6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7911FA" w:rsidRPr="0028413C" w:rsidRDefault="0079241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разделу 05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«Жилищно-коммунальное хозяйство»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27,1 %, </w:t>
      </w:r>
      <w:proofErr w:type="gramStart"/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по 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08 «Культура, кинематография»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- 26,7 %, по разделу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1FA" w:rsidRPr="0028413C">
        <w:rPr>
          <w:rFonts w:ascii="Times New Roman" w:hAnsi="Times New Roman"/>
          <w:bCs/>
          <w:sz w:val="24"/>
          <w:szCs w:val="24"/>
          <w:lang w:eastAsia="ru-RU"/>
        </w:rPr>
        <w:t>10 «Социальная политика»</w:t>
      </w:r>
      <w:r w:rsidRPr="0028413C">
        <w:rPr>
          <w:rFonts w:ascii="Times New Roman" w:hAnsi="Times New Roman"/>
          <w:sz w:val="24"/>
          <w:szCs w:val="24"/>
          <w:lang w:eastAsia="ru-RU"/>
        </w:rPr>
        <w:t>  - 25,0 %.</w:t>
      </w:r>
    </w:p>
    <w:p w:rsidR="003C68DF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3CB5" w:rsidRPr="0028413C" w:rsidRDefault="001E3CB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В течение 1 квартала 2017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г. (согласно данных бухгалтерской отчетности ф. 0503296) Администрацией МО исполнено судебных решений </w:t>
      </w:r>
      <w:r w:rsidR="009120A3" w:rsidRPr="0028413C">
        <w:rPr>
          <w:rFonts w:ascii="Times New Roman" w:hAnsi="Times New Roman"/>
          <w:sz w:val="24"/>
          <w:szCs w:val="24"/>
          <w:lang w:eastAsia="ru-RU"/>
        </w:rPr>
        <w:t>по денежным обязательствам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на 882,2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1070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Сумма судебных решений 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на начало года составляла 5025,2 </w:t>
      </w:r>
      <w:proofErr w:type="spellStart"/>
      <w:r w:rsidR="003C68DF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C68DF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За отчетный период прин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ято денежных обязательств 0,0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тыс.рублей.  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По состоянию на 01.04.2017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года осталось не исполнено </w:t>
      </w:r>
      <w:r w:rsidRPr="0028413C">
        <w:rPr>
          <w:rFonts w:ascii="Times New Roman" w:hAnsi="Times New Roman"/>
          <w:sz w:val="24"/>
          <w:szCs w:val="24"/>
          <w:lang w:eastAsia="ru-RU"/>
        </w:rPr>
        <w:t>по решению суд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ов (исполнительные листы) 4143,0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тыс.рублей.</w:t>
      </w:r>
    </w:p>
    <w:p w:rsidR="00F01070" w:rsidRPr="0028413C" w:rsidRDefault="00F0107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D93" w:rsidRPr="0028413C" w:rsidRDefault="00B20D93" w:rsidP="0028413C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B20D93" w:rsidRPr="0028413C" w:rsidRDefault="00B20D93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0D93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Для анализа дебиторской и кредиторской задолженности Ревизионной комиссией была использована информация оперативно</w:t>
      </w:r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го учета и </w:t>
      </w:r>
      <w:proofErr w:type="gramStart"/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состоянию на 01.04</w:t>
      </w:r>
      <w:r w:rsidR="009909D4" w:rsidRPr="0028413C">
        <w:rPr>
          <w:rFonts w:ascii="Times New Roman" w:hAnsi="Times New Roman"/>
          <w:sz w:val="24"/>
          <w:szCs w:val="24"/>
          <w:lang w:eastAsia="ru-RU"/>
        </w:rPr>
        <w:t>.201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7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года (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бухгалтерская отчетность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ф. 0503169). </w:t>
      </w:r>
    </w:p>
    <w:p w:rsidR="00D31D49" w:rsidRPr="0028413C" w:rsidRDefault="00D31D49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д Вытегра» (далее – Совет) от 26.12.2016 года № 203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8413C">
        <w:rPr>
          <w:rFonts w:ascii="Times New Roman" w:eastAsiaTheme="minorHAnsi" w:hAnsi="Times New Roman"/>
          <w:sz w:val="24"/>
          <w:szCs w:val="24"/>
        </w:rPr>
        <w:t>главным распорядителем бюджета МО</w:t>
      </w:r>
      <w:r w:rsidR="00992DA6" w:rsidRPr="0028413C">
        <w:rPr>
          <w:rFonts w:ascii="Times New Roman" w:eastAsiaTheme="minorHAnsi" w:hAnsi="Times New Roman"/>
          <w:sz w:val="24"/>
          <w:szCs w:val="24"/>
        </w:rPr>
        <w:t xml:space="preserve"> допущено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отвлечение бюджетных средств в дебиторскую задолженность, что повлияло на эффективность использования средств бюджета.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отчета дебиторская задолженность по бюджету МО (без расчетов с дебиторами по доходам, по бюджетным кредитам) в течение отчетного периода 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уменьшилась на 206,3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466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315E2"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на 01.04.2017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составляет 581,9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биторской задолженности на 01.04.2017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данным авансам» составила 543,6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тыс.рублей, (на 01.01.2017 г. – 739,9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>);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бюджеты» </w:t>
      </w:r>
      <w:proofErr w:type="gramStart"/>
      <w:r w:rsidR="003C68DF" w:rsidRPr="0028413C">
        <w:rPr>
          <w:rFonts w:ascii="Times New Roman" w:eastAsiaTheme="minorHAnsi" w:hAnsi="Times New Roman"/>
          <w:sz w:val="24"/>
          <w:szCs w:val="24"/>
        </w:rPr>
        <w:t>составила  38</w:t>
      </w:r>
      <w:proofErr w:type="gramEnd"/>
      <w:r w:rsidR="003C68DF" w:rsidRPr="0028413C">
        <w:rPr>
          <w:rFonts w:ascii="Times New Roman" w:eastAsiaTheme="minorHAnsi" w:hAnsi="Times New Roman"/>
          <w:sz w:val="24"/>
          <w:szCs w:val="24"/>
        </w:rPr>
        <w:t>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CE3F27" w:rsidRPr="0028413C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CE3F27" w:rsidRPr="0028413C">
        <w:rPr>
          <w:rFonts w:ascii="Times New Roman" w:eastAsiaTheme="minorHAnsi" w:hAnsi="Times New Roman"/>
          <w:sz w:val="24"/>
          <w:szCs w:val="24"/>
        </w:rPr>
        <w:t xml:space="preserve">, что 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меньше показателя</w:t>
      </w:r>
      <w:r w:rsidR="00CE3F27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413C">
        <w:rPr>
          <w:rFonts w:ascii="Times New Roman" w:eastAsiaTheme="minorHAnsi" w:hAnsi="Times New Roman"/>
          <w:sz w:val="24"/>
          <w:szCs w:val="24"/>
        </w:rPr>
        <w:t>начала года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на 10,0 </w:t>
      </w:r>
      <w:proofErr w:type="spellStart"/>
      <w:r w:rsidR="003C68DF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>.</w:t>
      </w:r>
      <w:r w:rsidR="009D1CC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C68DF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Просроченная дебиторская задолженность на 01.04.2017 г. по данным бухгалтерской отчетности отсутствует.</w:t>
      </w:r>
    </w:p>
    <w:p w:rsidR="00B20D93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560B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Согласно сведений ф. 0503169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кредиторская задолженность (без учета внутренних долговых обязательств) по бюджетной деятельности за 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1 квартал 2017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а увеличилась на 784,7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</w:t>
      </w:r>
      <w:r w:rsidR="00AF492A" w:rsidRPr="0028413C">
        <w:rPr>
          <w:rFonts w:ascii="Times New Roman" w:eastAsiaTheme="minorHAnsi" w:hAnsi="Times New Roman"/>
          <w:sz w:val="24"/>
          <w:szCs w:val="24"/>
        </w:rPr>
        <w:t>о состоянию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на 01.04.2017 года 17248,5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3C68DF" w:rsidRPr="0028413C">
        <w:rPr>
          <w:rFonts w:ascii="Times New Roman" w:eastAsiaTheme="minorHAnsi" w:hAnsi="Times New Roman"/>
          <w:sz w:val="24"/>
          <w:szCs w:val="24"/>
        </w:rPr>
        <w:t>( на</w:t>
      </w:r>
      <w:proofErr w:type="gramEnd"/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01.01.2017 г – 16463,8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560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). 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>Сумма кредиторск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ой задолженности составляет 53,1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 % к общему запланированному годовому объему доходов МО «Город Вытегра»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и 55,8 % к общей сумме налоговых и неналоговых доходов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диторской задолженности на 01.04.2017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lastRenderedPageBreak/>
        <w:t>-задолженность перед подотчетными лицами (счет 120800000 «Расчеты с подо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тчетными лицами») составила 0,2</w:t>
      </w:r>
      <w:r w:rsidR="00CE3F27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3F27" w:rsidRPr="0028413C">
        <w:rPr>
          <w:rFonts w:ascii="Times New Roman" w:eastAsiaTheme="minorHAnsi" w:hAnsi="Times New Roman"/>
          <w:sz w:val="24"/>
          <w:szCs w:val="24"/>
        </w:rPr>
        <w:t>тыс.руб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, в том числе просроченная – 0,2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>.  Это на 17,6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меньше начала года (за услуги связи, командировочные расходы, приобретение основных средств и материалов).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подрядчиками (счет 130200000 «Расчеты с поставщик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ами и подр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ядчиками») увеличилась на 939,6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составила на конец отчетного периода 17193,3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, в том числе просроченная 16270,9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(за услуги связи, транспортные услуги, коммунальные услуги, содержание имущества, прочие услуги, приобретени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е основных средств и материалов</w:t>
      </w:r>
      <w:r w:rsidRPr="0028413C">
        <w:rPr>
          <w:rFonts w:ascii="Times New Roman" w:eastAsiaTheme="minorHAnsi" w:hAnsi="Times New Roman"/>
          <w:sz w:val="24"/>
          <w:szCs w:val="24"/>
        </w:rPr>
        <w:t>);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платежам перед бюджетами (счет 130300000 «Расчеты по платежам в бюдж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еты») составила 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на конец отчетного периода 54,9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(в том числе просроченная – 54,8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>),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 что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на 137,4 тыс.рублей меньше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начала года.</w:t>
      </w:r>
    </w:p>
    <w:p w:rsidR="00A91F67" w:rsidRPr="0028413C" w:rsidRDefault="00A91F67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9E1" w:rsidRPr="0028413C" w:rsidRDefault="00093698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В целом о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 xml:space="preserve">бъем просроченной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 xml:space="preserve">кредиторской 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>зад</w:t>
      </w:r>
      <w:r w:rsidR="004A25EF" w:rsidRPr="0028413C">
        <w:rPr>
          <w:rFonts w:ascii="Times New Roman" w:eastAsiaTheme="minorHAnsi" w:hAnsi="Times New Roman"/>
          <w:sz w:val="24"/>
          <w:szCs w:val="24"/>
        </w:rPr>
        <w:t>олженности по сос</w:t>
      </w:r>
      <w:r w:rsidRPr="0028413C">
        <w:rPr>
          <w:rFonts w:ascii="Times New Roman" w:eastAsiaTheme="minorHAnsi" w:hAnsi="Times New Roman"/>
          <w:sz w:val="24"/>
          <w:szCs w:val="24"/>
        </w:rPr>
        <w:t>тоянию на 01.04.2017 года составил – 16325,9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 xml:space="preserve"> тыс.рублей</w:t>
      </w:r>
      <w:r w:rsidR="004A25EF" w:rsidRPr="0028413C">
        <w:rPr>
          <w:rFonts w:ascii="Times New Roman" w:eastAsiaTheme="minorHAnsi" w:hAnsi="Times New Roman"/>
          <w:sz w:val="24"/>
          <w:szCs w:val="24"/>
        </w:rPr>
        <w:t>, что на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252,6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тыс.рублей больше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01 января 2017</w:t>
      </w:r>
      <w:r w:rsidR="004A25EF" w:rsidRPr="0028413C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Pr="0028413C">
        <w:rPr>
          <w:rFonts w:ascii="Times New Roman" w:eastAsiaTheme="minorHAnsi" w:hAnsi="Times New Roman"/>
          <w:sz w:val="24"/>
          <w:szCs w:val="24"/>
        </w:rPr>
        <w:t>.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93698" w:rsidRPr="0028413C" w:rsidRDefault="0009369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070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7A6B" w:rsidRPr="0028413C">
        <w:rPr>
          <w:rFonts w:ascii="Times New Roman" w:hAnsi="Times New Roman"/>
          <w:sz w:val="24"/>
          <w:szCs w:val="24"/>
        </w:rPr>
        <w:t xml:space="preserve">За отчетный период направлено финансирование на погашение просроченной кредиторской задолженности в сумме 1560,8 </w:t>
      </w:r>
      <w:proofErr w:type="spellStart"/>
      <w:r w:rsidR="00187A6B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87A6B" w:rsidRPr="0028413C">
        <w:rPr>
          <w:rFonts w:ascii="Times New Roman" w:hAnsi="Times New Roman"/>
          <w:sz w:val="24"/>
          <w:szCs w:val="24"/>
        </w:rPr>
        <w:t xml:space="preserve"> или 31,9 % от запланированных значений, и   5791,7 </w:t>
      </w:r>
      <w:proofErr w:type="spellStart"/>
      <w:r w:rsidR="00187A6B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87A6B" w:rsidRPr="00284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направлено </w:t>
      </w:r>
      <w:r w:rsidR="00187A6B" w:rsidRPr="0028413C">
        <w:rPr>
          <w:rFonts w:ascii="Times New Roman" w:hAnsi="Times New Roman"/>
          <w:sz w:val="24"/>
          <w:szCs w:val="24"/>
        </w:rPr>
        <w:t>на текущие расходы.</w:t>
      </w: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DD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</w:t>
      </w:r>
      <w:bookmarkStart w:id="0" w:name="_GoBack"/>
      <w:bookmarkEnd w:id="0"/>
      <w:r w:rsidR="00565DDB" w:rsidRPr="0028413C">
        <w:rPr>
          <w:rFonts w:ascii="Times New Roman" w:hAnsi="Times New Roman"/>
          <w:sz w:val="24"/>
          <w:szCs w:val="24"/>
          <w:lang w:eastAsia="ru-RU"/>
        </w:rPr>
        <w:t>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E334EB" w:rsidRPr="0028413C">
        <w:rPr>
          <w:rFonts w:ascii="Times New Roman" w:hAnsi="Times New Roman"/>
          <w:bCs/>
          <w:color w:val="000000"/>
          <w:spacing w:val="-2"/>
          <w:sz w:val="24"/>
          <w:szCs w:val="24"/>
        </w:rPr>
        <w:t>№</w:t>
      </w:r>
      <w:proofErr w:type="gramEnd"/>
      <w:r w:rsidR="00E334EB" w:rsidRPr="0028413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184 от 24.10.2016 г.</w:t>
      </w:r>
      <w:r w:rsidR="00E334E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 xml:space="preserve"> </w:t>
      </w:r>
    </w:p>
    <w:p w:rsidR="002C3614" w:rsidRPr="0028413C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614" w:rsidRPr="0028413C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01.4.2017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E334EB" w:rsidRPr="0028413C">
        <w:rPr>
          <w:rFonts w:ascii="Times New Roman" w:hAnsi="Times New Roman"/>
          <w:sz w:val="24"/>
          <w:szCs w:val="24"/>
        </w:rPr>
        <w:t>по доходам составило 6075,6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E334EB" w:rsidRPr="0028413C">
        <w:rPr>
          <w:rFonts w:ascii="Times New Roman" w:hAnsi="Times New Roman"/>
          <w:sz w:val="24"/>
          <w:szCs w:val="24"/>
        </w:rPr>
        <w:t xml:space="preserve"> 7352,5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 бюджета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E334EB" w:rsidRPr="0028413C">
        <w:rPr>
          <w:rFonts w:ascii="Times New Roman" w:hAnsi="Times New Roman"/>
          <w:sz w:val="24"/>
          <w:szCs w:val="24"/>
        </w:rPr>
        <w:t>я дефицит бюджета в сумме 1276,9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Объем кредиторской задолж</w:t>
      </w:r>
      <w:r w:rsidR="00281DD6" w:rsidRPr="0028413C">
        <w:rPr>
          <w:rFonts w:ascii="Times New Roman" w:hAnsi="Times New Roman"/>
          <w:sz w:val="24"/>
          <w:szCs w:val="24"/>
        </w:rPr>
        <w:t>енности на отчет</w:t>
      </w:r>
      <w:r w:rsidR="00E334EB" w:rsidRPr="0028413C">
        <w:rPr>
          <w:rFonts w:ascii="Times New Roman" w:hAnsi="Times New Roman"/>
          <w:sz w:val="24"/>
          <w:szCs w:val="24"/>
        </w:rPr>
        <w:t xml:space="preserve">ную дату </w:t>
      </w:r>
      <w:r w:rsidR="00E334EB" w:rsidRPr="0028413C">
        <w:rPr>
          <w:rFonts w:ascii="Times New Roman" w:eastAsiaTheme="minorHAnsi" w:hAnsi="Times New Roman"/>
          <w:sz w:val="24"/>
          <w:szCs w:val="24"/>
        </w:rPr>
        <w:t>17248,5 тыс. рублей</w:t>
      </w:r>
      <w:r w:rsidRPr="0028413C">
        <w:rPr>
          <w:rFonts w:ascii="Times New Roman" w:hAnsi="Times New Roman"/>
          <w:sz w:val="24"/>
          <w:szCs w:val="24"/>
        </w:rPr>
        <w:t>.</w:t>
      </w:r>
    </w:p>
    <w:p w:rsidR="00503ABD" w:rsidRPr="0028413C" w:rsidRDefault="00503AB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4EB" w:rsidRPr="0028413C" w:rsidRDefault="00E334E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 xml:space="preserve">онная комиссия ВМР рекомендует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 xml:space="preserve">Городскому Совету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МО «Город Вытегра»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 МО за 1 квартал 2017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направить в Администрацию муниципального образования «Город Вытегра» для устранения несоответствия плановых назначений. </w:t>
      </w:r>
    </w:p>
    <w:p w:rsidR="00E334EB" w:rsidRPr="0028413C" w:rsidRDefault="00E334E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Pr="0028413C" w:rsidRDefault="00E334E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Проект решения рекомендуется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</w:rPr>
        <w:t>к</w:t>
      </w:r>
      <w:r w:rsidR="005D1791" w:rsidRPr="0028413C">
        <w:rPr>
          <w:rFonts w:ascii="Times New Roman" w:hAnsi="Times New Roman"/>
          <w:sz w:val="24"/>
          <w:szCs w:val="24"/>
        </w:rPr>
        <w:t xml:space="preserve"> рассмотрению</w:t>
      </w:r>
      <w:r w:rsidR="00281DD6" w:rsidRPr="0028413C">
        <w:rPr>
          <w:rFonts w:ascii="Times New Roman" w:hAnsi="Times New Roman"/>
          <w:sz w:val="24"/>
          <w:szCs w:val="24"/>
        </w:rPr>
        <w:t xml:space="preserve"> с</w:t>
      </w:r>
      <w:r w:rsidRPr="0028413C">
        <w:rPr>
          <w:rFonts w:ascii="Times New Roman" w:hAnsi="Times New Roman"/>
          <w:sz w:val="24"/>
          <w:szCs w:val="24"/>
        </w:rPr>
        <w:t xml:space="preserve"> учетом подготовленного анализа.</w:t>
      </w: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4864"/>
    <w:rsid w:val="00012E62"/>
    <w:rsid w:val="000238EB"/>
    <w:rsid w:val="00061028"/>
    <w:rsid w:val="00061041"/>
    <w:rsid w:val="00061F73"/>
    <w:rsid w:val="0006298F"/>
    <w:rsid w:val="00067941"/>
    <w:rsid w:val="00075FBF"/>
    <w:rsid w:val="00091D8B"/>
    <w:rsid w:val="00093698"/>
    <w:rsid w:val="00095BBF"/>
    <w:rsid w:val="000A189D"/>
    <w:rsid w:val="000A3150"/>
    <w:rsid w:val="000A5D13"/>
    <w:rsid w:val="000C67A3"/>
    <w:rsid w:val="000E7ED6"/>
    <w:rsid w:val="000F72AB"/>
    <w:rsid w:val="00117B3E"/>
    <w:rsid w:val="00121445"/>
    <w:rsid w:val="00146FEB"/>
    <w:rsid w:val="00156D62"/>
    <w:rsid w:val="001667D4"/>
    <w:rsid w:val="00187A6B"/>
    <w:rsid w:val="00195629"/>
    <w:rsid w:val="001A0468"/>
    <w:rsid w:val="001A42DB"/>
    <w:rsid w:val="001B25E5"/>
    <w:rsid w:val="001B63F8"/>
    <w:rsid w:val="001E3CB5"/>
    <w:rsid w:val="002024EC"/>
    <w:rsid w:val="00247936"/>
    <w:rsid w:val="0025466B"/>
    <w:rsid w:val="002548CF"/>
    <w:rsid w:val="0025555F"/>
    <w:rsid w:val="00264A92"/>
    <w:rsid w:val="00277565"/>
    <w:rsid w:val="002801D2"/>
    <w:rsid w:val="00281DD6"/>
    <w:rsid w:val="0028413C"/>
    <w:rsid w:val="0029143F"/>
    <w:rsid w:val="002A4AF9"/>
    <w:rsid w:val="002A5EAA"/>
    <w:rsid w:val="002A6ECC"/>
    <w:rsid w:val="002C3614"/>
    <w:rsid w:val="002C797F"/>
    <w:rsid w:val="002E7608"/>
    <w:rsid w:val="002F71E8"/>
    <w:rsid w:val="003005EE"/>
    <w:rsid w:val="00336F24"/>
    <w:rsid w:val="00344496"/>
    <w:rsid w:val="0036397B"/>
    <w:rsid w:val="00365408"/>
    <w:rsid w:val="0036660B"/>
    <w:rsid w:val="00384B3B"/>
    <w:rsid w:val="00390AEA"/>
    <w:rsid w:val="003934BD"/>
    <w:rsid w:val="003A32F1"/>
    <w:rsid w:val="003A5141"/>
    <w:rsid w:val="003B0E51"/>
    <w:rsid w:val="003B19DD"/>
    <w:rsid w:val="003C68DF"/>
    <w:rsid w:val="004025EE"/>
    <w:rsid w:val="00405E25"/>
    <w:rsid w:val="00413BCF"/>
    <w:rsid w:val="004212FE"/>
    <w:rsid w:val="0044325D"/>
    <w:rsid w:val="00445B90"/>
    <w:rsid w:val="004630ED"/>
    <w:rsid w:val="004644B3"/>
    <w:rsid w:val="004720DA"/>
    <w:rsid w:val="004972FF"/>
    <w:rsid w:val="004A16CD"/>
    <w:rsid w:val="004A25EF"/>
    <w:rsid w:val="004B763D"/>
    <w:rsid w:val="004C20F0"/>
    <w:rsid w:val="004C4BA6"/>
    <w:rsid w:val="004D0EBE"/>
    <w:rsid w:val="004D6113"/>
    <w:rsid w:val="004D76EE"/>
    <w:rsid w:val="004D797C"/>
    <w:rsid w:val="004E510F"/>
    <w:rsid w:val="004E6A97"/>
    <w:rsid w:val="00503ABD"/>
    <w:rsid w:val="00527516"/>
    <w:rsid w:val="00533D81"/>
    <w:rsid w:val="00535C77"/>
    <w:rsid w:val="00551BCA"/>
    <w:rsid w:val="00565DDB"/>
    <w:rsid w:val="005713FF"/>
    <w:rsid w:val="0059687D"/>
    <w:rsid w:val="005B02B6"/>
    <w:rsid w:val="005D1791"/>
    <w:rsid w:val="005D39E8"/>
    <w:rsid w:val="005E1F99"/>
    <w:rsid w:val="005E4287"/>
    <w:rsid w:val="005E4DC5"/>
    <w:rsid w:val="005F5C75"/>
    <w:rsid w:val="00605237"/>
    <w:rsid w:val="0060798E"/>
    <w:rsid w:val="00620268"/>
    <w:rsid w:val="0062070E"/>
    <w:rsid w:val="006315E2"/>
    <w:rsid w:val="00637CE3"/>
    <w:rsid w:val="00651C0B"/>
    <w:rsid w:val="00672A19"/>
    <w:rsid w:val="0068293A"/>
    <w:rsid w:val="006C3080"/>
    <w:rsid w:val="006C548E"/>
    <w:rsid w:val="006C784A"/>
    <w:rsid w:val="00716C10"/>
    <w:rsid w:val="007227C7"/>
    <w:rsid w:val="00722B16"/>
    <w:rsid w:val="007271C6"/>
    <w:rsid w:val="007647E0"/>
    <w:rsid w:val="0078424E"/>
    <w:rsid w:val="007911FA"/>
    <w:rsid w:val="0079241C"/>
    <w:rsid w:val="007A0307"/>
    <w:rsid w:val="007A03FD"/>
    <w:rsid w:val="007A293C"/>
    <w:rsid w:val="007B4AFA"/>
    <w:rsid w:val="007C48E5"/>
    <w:rsid w:val="007F2272"/>
    <w:rsid w:val="00803F19"/>
    <w:rsid w:val="00804CF8"/>
    <w:rsid w:val="00805589"/>
    <w:rsid w:val="00816418"/>
    <w:rsid w:val="00816DFC"/>
    <w:rsid w:val="0082077C"/>
    <w:rsid w:val="00844941"/>
    <w:rsid w:val="00861CA2"/>
    <w:rsid w:val="00891B4B"/>
    <w:rsid w:val="008A230A"/>
    <w:rsid w:val="008B37ED"/>
    <w:rsid w:val="008D25C8"/>
    <w:rsid w:val="008E09E1"/>
    <w:rsid w:val="008E5C46"/>
    <w:rsid w:val="008E5FC1"/>
    <w:rsid w:val="008F0477"/>
    <w:rsid w:val="008F2F39"/>
    <w:rsid w:val="008F34CB"/>
    <w:rsid w:val="009120A3"/>
    <w:rsid w:val="00924BAE"/>
    <w:rsid w:val="00925382"/>
    <w:rsid w:val="009375C2"/>
    <w:rsid w:val="00941423"/>
    <w:rsid w:val="00945BE5"/>
    <w:rsid w:val="009567C9"/>
    <w:rsid w:val="00983247"/>
    <w:rsid w:val="00983276"/>
    <w:rsid w:val="00983F25"/>
    <w:rsid w:val="009909D4"/>
    <w:rsid w:val="00992DA6"/>
    <w:rsid w:val="009B19E6"/>
    <w:rsid w:val="009C0993"/>
    <w:rsid w:val="009C1791"/>
    <w:rsid w:val="009D1CCB"/>
    <w:rsid w:val="009D25CA"/>
    <w:rsid w:val="009E0795"/>
    <w:rsid w:val="009E6B21"/>
    <w:rsid w:val="009F1878"/>
    <w:rsid w:val="009F52E0"/>
    <w:rsid w:val="00A03A29"/>
    <w:rsid w:val="00A0560B"/>
    <w:rsid w:val="00A11197"/>
    <w:rsid w:val="00A2254C"/>
    <w:rsid w:val="00A43B00"/>
    <w:rsid w:val="00A45EF1"/>
    <w:rsid w:val="00A46DF5"/>
    <w:rsid w:val="00A5369E"/>
    <w:rsid w:val="00A572A7"/>
    <w:rsid w:val="00A66087"/>
    <w:rsid w:val="00A80E9D"/>
    <w:rsid w:val="00A83584"/>
    <w:rsid w:val="00A84C6C"/>
    <w:rsid w:val="00A91F67"/>
    <w:rsid w:val="00AA0374"/>
    <w:rsid w:val="00AA300D"/>
    <w:rsid w:val="00AD4C36"/>
    <w:rsid w:val="00AD5F7F"/>
    <w:rsid w:val="00AF492A"/>
    <w:rsid w:val="00B12E53"/>
    <w:rsid w:val="00B156F0"/>
    <w:rsid w:val="00B20D93"/>
    <w:rsid w:val="00B41754"/>
    <w:rsid w:val="00B51178"/>
    <w:rsid w:val="00B534B4"/>
    <w:rsid w:val="00B64175"/>
    <w:rsid w:val="00B876FE"/>
    <w:rsid w:val="00B90F89"/>
    <w:rsid w:val="00B9131B"/>
    <w:rsid w:val="00B9466B"/>
    <w:rsid w:val="00BA1CA2"/>
    <w:rsid w:val="00BA764D"/>
    <w:rsid w:val="00BC2CEA"/>
    <w:rsid w:val="00BC63CB"/>
    <w:rsid w:val="00BD164D"/>
    <w:rsid w:val="00BD6DB9"/>
    <w:rsid w:val="00BE6952"/>
    <w:rsid w:val="00C04AF4"/>
    <w:rsid w:val="00C07930"/>
    <w:rsid w:val="00C27FF3"/>
    <w:rsid w:val="00C338D6"/>
    <w:rsid w:val="00C6697D"/>
    <w:rsid w:val="00C93AEB"/>
    <w:rsid w:val="00C9509C"/>
    <w:rsid w:val="00CA6735"/>
    <w:rsid w:val="00CC54C1"/>
    <w:rsid w:val="00CE2E98"/>
    <w:rsid w:val="00CE3F27"/>
    <w:rsid w:val="00CF348A"/>
    <w:rsid w:val="00CF3754"/>
    <w:rsid w:val="00D208E0"/>
    <w:rsid w:val="00D30644"/>
    <w:rsid w:val="00D31D49"/>
    <w:rsid w:val="00D5797B"/>
    <w:rsid w:val="00D62C67"/>
    <w:rsid w:val="00D71908"/>
    <w:rsid w:val="00D7515E"/>
    <w:rsid w:val="00D777CE"/>
    <w:rsid w:val="00D93DCD"/>
    <w:rsid w:val="00D975BC"/>
    <w:rsid w:val="00DA5DA2"/>
    <w:rsid w:val="00DC774B"/>
    <w:rsid w:val="00DD7862"/>
    <w:rsid w:val="00E00020"/>
    <w:rsid w:val="00E0070C"/>
    <w:rsid w:val="00E1603C"/>
    <w:rsid w:val="00E334EB"/>
    <w:rsid w:val="00E70966"/>
    <w:rsid w:val="00E711A9"/>
    <w:rsid w:val="00E85F59"/>
    <w:rsid w:val="00E91B94"/>
    <w:rsid w:val="00E91BA9"/>
    <w:rsid w:val="00EA2826"/>
    <w:rsid w:val="00EB0FF3"/>
    <w:rsid w:val="00EC54A0"/>
    <w:rsid w:val="00ED16C0"/>
    <w:rsid w:val="00EE272E"/>
    <w:rsid w:val="00EE51AD"/>
    <w:rsid w:val="00EF03B0"/>
    <w:rsid w:val="00EF6404"/>
    <w:rsid w:val="00F00F8E"/>
    <w:rsid w:val="00F01070"/>
    <w:rsid w:val="00F219CA"/>
    <w:rsid w:val="00F234F0"/>
    <w:rsid w:val="00F36167"/>
    <w:rsid w:val="00F47009"/>
    <w:rsid w:val="00F5591E"/>
    <w:rsid w:val="00F609F5"/>
    <w:rsid w:val="00F72D63"/>
    <w:rsid w:val="00F77CFB"/>
    <w:rsid w:val="00F80C21"/>
    <w:rsid w:val="00F8640C"/>
    <w:rsid w:val="00FB0FAA"/>
    <w:rsid w:val="00FD3932"/>
    <w:rsid w:val="00FE1831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7A9E87-1ED4-4A7D-A00A-2817EC4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DCCB-B560-4A74-8EFF-540F1D6C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2016-06-17T05:54:00Z</cp:lastPrinted>
  <dcterms:created xsi:type="dcterms:W3CDTF">2017-05-11T08:11:00Z</dcterms:created>
  <dcterms:modified xsi:type="dcterms:W3CDTF">2017-05-11T08:11:00Z</dcterms:modified>
</cp:coreProperties>
</file>