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EF03B0" w:rsidP="00BE36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22D5">
        <w:rPr>
          <w:rFonts w:ascii="Times New Roman" w:hAnsi="Times New Roman"/>
          <w:b/>
          <w:sz w:val="28"/>
          <w:szCs w:val="28"/>
        </w:rPr>
        <w:t xml:space="preserve">на  </w:t>
      </w:r>
      <w:r w:rsidR="00FC4C3A" w:rsidRPr="00B022D5">
        <w:rPr>
          <w:rFonts w:ascii="Times New Roman" w:hAnsi="Times New Roman"/>
          <w:b/>
          <w:sz w:val="28"/>
          <w:szCs w:val="28"/>
        </w:rPr>
        <w:t>проект</w:t>
      </w:r>
      <w:proofErr w:type="gramEnd"/>
      <w:r w:rsidR="00FC4C3A" w:rsidRPr="00B022D5">
        <w:rPr>
          <w:rFonts w:ascii="Times New Roman" w:hAnsi="Times New Roman"/>
          <w:b/>
          <w:sz w:val="28"/>
          <w:szCs w:val="28"/>
        </w:rPr>
        <w:t xml:space="preserve"> решения Городского Совета Муниципального образования </w:t>
      </w:r>
    </w:p>
    <w:p w:rsidR="009F52E0" w:rsidRPr="00B022D5" w:rsidRDefault="00FC4C3A" w:rsidP="00B022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8E7776" w:rsidP="00B02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26757E">
        <w:rPr>
          <w:rFonts w:ascii="Times New Roman" w:hAnsi="Times New Roman"/>
          <w:sz w:val="28"/>
          <w:szCs w:val="28"/>
        </w:rPr>
        <w:t>.2021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26757E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района, на основании заключённого </w:t>
      </w:r>
      <w:r w:rsidR="0026757E">
        <w:rPr>
          <w:rFonts w:ascii="Times New Roman" w:hAnsi="Times New Roman"/>
          <w:sz w:val="28"/>
          <w:szCs w:val="28"/>
        </w:rPr>
        <w:t>на 2021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</w:t>
      </w:r>
      <w:proofErr w:type="spellStart"/>
      <w:r w:rsidRPr="00B022D5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E81FD5" w:rsidRDefault="00E81FD5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D82" w:rsidRDefault="00EA7ADA" w:rsidP="008F43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Проектом</w:t>
      </w:r>
      <w:r w:rsidR="00540115" w:rsidRPr="00B022D5">
        <w:rPr>
          <w:rFonts w:ascii="Times New Roman" w:hAnsi="Times New Roman"/>
          <w:sz w:val="28"/>
          <w:szCs w:val="28"/>
        </w:rPr>
        <w:t xml:space="preserve"> решения предлагаетс</w:t>
      </w:r>
      <w:r w:rsidR="001C14EB" w:rsidRPr="00B022D5">
        <w:rPr>
          <w:rFonts w:ascii="Times New Roman" w:hAnsi="Times New Roman"/>
          <w:sz w:val="28"/>
          <w:szCs w:val="28"/>
        </w:rPr>
        <w:t>я внести изменения в</w:t>
      </w:r>
      <w:r w:rsidR="00CB6573" w:rsidRPr="00B022D5">
        <w:rPr>
          <w:rFonts w:ascii="Times New Roman" w:hAnsi="Times New Roman"/>
          <w:sz w:val="28"/>
          <w:szCs w:val="28"/>
        </w:rPr>
        <w:t xml:space="preserve"> доходную и </w:t>
      </w:r>
      <w:r w:rsidR="00540115" w:rsidRPr="00B022D5">
        <w:rPr>
          <w:rFonts w:ascii="Times New Roman" w:hAnsi="Times New Roman"/>
          <w:sz w:val="28"/>
          <w:szCs w:val="28"/>
        </w:rPr>
        <w:t>расходную</w:t>
      </w:r>
      <w:r w:rsidR="00CB6573" w:rsidRPr="00B022D5">
        <w:rPr>
          <w:rFonts w:ascii="Times New Roman" w:hAnsi="Times New Roman"/>
          <w:sz w:val="28"/>
          <w:szCs w:val="28"/>
        </w:rPr>
        <w:t xml:space="preserve"> части</w:t>
      </w:r>
      <w:r w:rsidRPr="00B022D5">
        <w:rPr>
          <w:rFonts w:ascii="Times New Roman" w:hAnsi="Times New Roman"/>
          <w:sz w:val="28"/>
          <w:szCs w:val="28"/>
        </w:rPr>
        <w:t xml:space="preserve"> бюджета</w:t>
      </w:r>
      <w:r w:rsidR="00540115" w:rsidRPr="00B022D5">
        <w:rPr>
          <w:rFonts w:ascii="Times New Roman" w:hAnsi="Times New Roman"/>
          <w:sz w:val="28"/>
          <w:szCs w:val="28"/>
        </w:rPr>
        <w:t xml:space="preserve"> </w:t>
      </w:r>
      <w:r w:rsidR="0026757E">
        <w:rPr>
          <w:rFonts w:ascii="Times New Roman" w:hAnsi="Times New Roman"/>
          <w:sz w:val="28"/>
          <w:szCs w:val="28"/>
        </w:rPr>
        <w:t>МО на 2021</w:t>
      </w:r>
      <w:r w:rsidR="00540115" w:rsidRPr="00B022D5">
        <w:rPr>
          <w:rFonts w:ascii="Times New Roman" w:hAnsi="Times New Roman"/>
          <w:sz w:val="28"/>
          <w:szCs w:val="28"/>
        </w:rPr>
        <w:t xml:space="preserve"> год</w:t>
      </w:r>
      <w:r w:rsidR="004656D4">
        <w:rPr>
          <w:rFonts w:ascii="Times New Roman" w:hAnsi="Times New Roman"/>
          <w:sz w:val="28"/>
          <w:szCs w:val="28"/>
        </w:rPr>
        <w:t>.</w:t>
      </w:r>
      <w:r w:rsidR="00507D82">
        <w:rPr>
          <w:rFonts w:ascii="Times New Roman" w:hAnsi="Times New Roman"/>
          <w:sz w:val="28"/>
          <w:szCs w:val="28"/>
        </w:rPr>
        <w:t xml:space="preserve"> </w:t>
      </w:r>
    </w:p>
    <w:p w:rsidR="00E81FD5" w:rsidRPr="00E81FD5" w:rsidRDefault="0026757E" w:rsidP="00F52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07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D82">
        <w:rPr>
          <w:rFonts w:ascii="Times New Roman" w:hAnsi="Times New Roman"/>
          <w:sz w:val="28"/>
          <w:szCs w:val="28"/>
        </w:rPr>
        <w:t xml:space="preserve">году </w:t>
      </w:r>
      <w:r w:rsidR="00122E1C" w:rsidRPr="00B022D5">
        <w:rPr>
          <w:rFonts w:ascii="Times New Roman" w:hAnsi="Times New Roman"/>
          <w:sz w:val="28"/>
          <w:szCs w:val="28"/>
        </w:rPr>
        <w:t xml:space="preserve"> </w:t>
      </w:r>
      <w:r w:rsidR="00507D82">
        <w:rPr>
          <w:rFonts w:ascii="Times New Roman" w:hAnsi="Times New Roman"/>
          <w:sz w:val="28"/>
          <w:szCs w:val="28"/>
        </w:rPr>
        <w:t>общий</w:t>
      </w:r>
      <w:proofErr w:type="gramEnd"/>
      <w:r w:rsidR="00507D82">
        <w:rPr>
          <w:rFonts w:ascii="Times New Roman" w:hAnsi="Times New Roman"/>
          <w:sz w:val="28"/>
          <w:szCs w:val="28"/>
        </w:rPr>
        <w:t xml:space="preserve"> объем доходов </w:t>
      </w:r>
      <w:r>
        <w:rPr>
          <w:rFonts w:ascii="Times New Roman" w:hAnsi="Times New Roman"/>
          <w:sz w:val="28"/>
          <w:szCs w:val="28"/>
        </w:rPr>
        <w:t>бюджета</w:t>
      </w:r>
      <w:r w:rsidR="008E7776">
        <w:rPr>
          <w:rFonts w:ascii="Times New Roman" w:hAnsi="Times New Roman"/>
          <w:sz w:val="28"/>
          <w:szCs w:val="28"/>
        </w:rPr>
        <w:t xml:space="preserve"> МО увеличивается на 2545,1 </w:t>
      </w:r>
      <w:proofErr w:type="spellStart"/>
      <w:r w:rsidR="008E77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E7776">
        <w:rPr>
          <w:rFonts w:ascii="Times New Roman" w:hAnsi="Times New Roman"/>
          <w:sz w:val="28"/>
          <w:szCs w:val="28"/>
        </w:rPr>
        <w:t xml:space="preserve"> (+1,6</w:t>
      </w:r>
      <w:r>
        <w:rPr>
          <w:rFonts w:ascii="Times New Roman" w:hAnsi="Times New Roman"/>
          <w:sz w:val="28"/>
          <w:szCs w:val="28"/>
        </w:rPr>
        <w:t xml:space="preserve"> %),</w:t>
      </w:r>
      <w:r w:rsidR="00507D82">
        <w:rPr>
          <w:rFonts w:ascii="Times New Roman" w:hAnsi="Times New Roman"/>
          <w:sz w:val="28"/>
          <w:szCs w:val="28"/>
        </w:rPr>
        <w:t xml:space="preserve"> рас</w:t>
      </w:r>
      <w:r w:rsidR="008E7776">
        <w:rPr>
          <w:rFonts w:ascii="Times New Roman" w:hAnsi="Times New Roman"/>
          <w:sz w:val="28"/>
          <w:szCs w:val="28"/>
        </w:rPr>
        <w:t>ходов на 2545,1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E7776">
        <w:rPr>
          <w:rFonts w:ascii="Times New Roman" w:hAnsi="Times New Roman"/>
          <w:sz w:val="28"/>
          <w:szCs w:val="28"/>
        </w:rPr>
        <w:t xml:space="preserve"> (+1,5</w:t>
      </w:r>
      <w:r w:rsidR="005D3660">
        <w:rPr>
          <w:rFonts w:ascii="Times New Roman" w:hAnsi="Times New Roman"/>
          <w:sz w:val="28"/>
          <w:szCs w:val="28"/>
        </w:rPr>
        <w:t xml:space="preserve"> %)</w:t>
      </w:r>
      <w:r w:rsidR="00F527A5">
        <w:rPr>
          <w:rFonts w:ascii="Times New Roman" w:hAnsi="Times New Roman"/>
          <w:sz w:val="28"/>
          <w:szCs w:val="28"/>
        </w:rPr>
        <w:t xml:space="preserve">. Проектом решения </w:t>
      </w:r>
      <w:r w:rsidR="00380B16">
        <w:rPr>
          <w:rFonts w:ascii="Times New Roman" w:hAnsi="Times New Roman"/>
          <w:sz w:val="28"/>
          <w:szCs w:val="28"/>
        </w:rPr>
        <w:t>предусмотрена</w:t>
      </w:r>
      <w:r w:rsidR="00AF6EBA">
        <w:rPr>
          <w:rFonts w:ascii="Times New Roman" w:hAnsi="Times New Roman"/>
          <w:sz w:val="28"/>
          <w:szCs w:val="28"/>
        </w:rPr>
        <w:t xml:space="preserve"> кор</w:t>
      </w:r>
      <w:r>
        <w:rPr>
          <w:rFonts w:ascii="Times New Roman" w:hAnsi="Times New Roman"/>
          <w:sz w:val="28"/>
          <w:szCs w:val="28"/>
        </w:rPr>
        <w:t>ректировка плановых показателей</w:t>
      </w:r>
      <w:r w:rsidR="004656D4" w:rsidRPr="00B022D5">
        <w:rPr>
          <w:rFonts w:ascii="Times New Roman" w:hAnsi="Times New Roman"/>
          <w:sz w:val="28"/>
          <w:szCs w:val="28"/>
        </w:rPr>
        <w:t xml:space="preserve"> </w:t>
      </w:r>
      <w:r w:rsidR="008E7776">
        <w:rPr>
          <w:rFonts w:ascii="Times New Roman" w:hAnsi="Times New Roman"/>
          <w:sz w:val="28"/>
          <w:szCs w:val="28"/>
        </w:rPr>
        <w:t xml:space="preserve">собственных доходов и </w:t>
      </w:r>
      <w:r w:rsidR="004656D4" w:rsidRPr="00B022D5">
        <w:rPr>
          <w:rFonts w:ascii="Times New Roman" w:hAnsi="Times New Roman"/>
          <w:sz w:val="28"/>
          <w:szCs w:val="28"/>
        </w:rPr>
        <w:t>расходо</w:t>
      </w:r>
      <w:r w:rsidR="004656D4">
        <w:rPr>
          <w:rFonts w:ascii="Times New Roman" w:hAnsi="Times New Roman"/>
          <w:sz w:val="28"/>
          <w:szCs w:val="28"/>
        </w:rPr>
        <w:t xml:space="preserve">в внутри разделов и подразделов. </w:t>
      </w:r>
      <w:r w:rsidR="0084232C" w:rsidRPr="00B022D5">
        <w:rPr>
          <w:rFonts w:ascii="Times New Roman" w:hAnsi="Times New Roman"/>
          <w:sz w:val="28"/>
          <w:szCs w:val="28"/>
        </w:rPr>
        <w:t xml:space="preserve"> Изменения в параметры</w:t>
      </w:r>
      <w:r w:rsidR="00EA7ADA" w:rsidRPr="00B022D5">
        <w:rPr>
          <w:rFonts w:ascii="Times New Roman" w:hAnsi="Times New Roman"/>
          <w:sz w:val="28"/>
          <w:szCs w:val="28"/>
        </w:rPr>
        <w:t xml:space="preserve"> б</w:t>
      </w:r>
      <w:r w:rsidR="00540115" w:rsidRPr="00B022D5">
        <w:rPr>
          <w:rFonts w:ascii="Times New Roman" w:hAnsi="Times New Roman"/>
          <w:sz w:val="28"/>
          <w:szCs w:val="28"/>
        </w:rPr>
        <w:t>ю</w:t>
      </w:r>
      <w:r w:rsidR="00E20BAD" w:rsidRPr="00B022D5">
        <w:rPr>
          <w:rFonts w:ascii="Times New Roman" w:hAnsi="Times New Roman"/>
          <w:sz w:val="28"/>
          <w:szCs w:val="28"/>
        </w:rPr>
        <w:t>джета МО приведены в Приложениях</w:t>
      </w:r>
      <w:r w:rsidR="00EA7ADA" w:rsidRPr="00B022D5">
        <w:rPr>
          <w:rFonts w:ascii="Times New Roman" w:hAnsi="Times New Roman"/>
          <w:sz w:val="28"/>
          <w:szCs w:val="28"/>
        </w:rPr>
        <w:t xml:space="preserve"> к Заключению. </w:t>
      </w:r>
    </w:p>
    <w:p w:rsidR="00540115" w:rsidRDefault="00540115" w:rsidP="00B022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вносимых изменений в решение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B02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26757E">
              <w:rPr>
                <w:rFonts w:ascii="Times New Roman" w:hAnsi="Times New Roman"/>
                <w:sz w:val="16"/>
                <w:szCs w:val="16"/>
              </w:rPr>
              <w:t>решением о бюджете от 10.12.2020 г. № 191</w:t>
            </w:r>
            <w:r w:rsidR="001C14EB" w:rsidRPr="009D0C06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 w:rsidR="001E2C1E" w:rsidRPr="009D0C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B02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8E7776" w:rsidRPr="0080722D" w:rsidTr="00643F52">
        <w:trPr>
          <w:trHeight w:val="407"/>
        </w:trPr>
        <w:tc>
          <w:tcPr>
            <w:tcW w:w="2972" w:type="dxa"/>
          </w:tcPr>
          <w:p w:rsidR="008E7776" w:rsidRPr="009D0C06" w:rsidRDefault="008E7776" w:rsidP="008E777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158302,5</w:t>
            </w:r>
          </w:p>
        </w:tc>
        <w:tc>
          <w:tcPr>
            <w:tcW w:w="1984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160847,6</w:t>
            </w:r>
          </w:p>
        </w:tc>
        <w:tc>
          <w:tcPr>
            <w:tcW w:w="1559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+2545,1</w:t>
            </w:r>
          </w:p>
        </w:tc>
        <w:tc>
          <w:tcPr>
            <w:tcW w:w="1163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+1,6 %</w:t>
            </w:r>
          </w:p>
        </w:tc>
      </w:tr>
      <w:tr w:rsidR="008E7776" w:rsidRPr="0080722D" w:rsidTr="00643F52">
        <w:trPr>
          <w:trHeight w:val="321"/>
        </w:trPr>
        <w:tc>
          <w:tcPr>
            <w:tcW w:w="2972" w:type="dxa"/>
          </w:tcPr>
          <w:p w:rsidR="008E7776" w:rsidRPr="009D0C06" w:rsidRDefault="008E7776" w:rsidP="008E777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41919,0</w:t>
            </w:r>
          </w:p>
        </w:tc>
        <w:tc>
          <w:tcPr>
            <w:tcW w:w="1984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41919,0</w:t>
            </w:r>
          </w:p>
        </w:tc>
        <w:tc>
          <w:tcPr>
            <w:tcW w:w="1559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7776" w:rsidRPr="0080722D" w:rsidTr="00643F52">
        <w:trPr>
          <w:trHeight w:val="391"/>
        </w:trPr>
        <w:tc>
          <w:tcPr>
            <w:tcW w:w="2972" w:type="dxa"/>
          </w:tcPr>
          <w:p w:rsidR="008E7776" w:rsidRPr="009D0C06" w:rsidRDefault="008E7776" w:rsidP="008E777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116383,5</w:t>
            </w:r>
          </w:p>
        </w:tc>
        <w:tc>
          <w:tcPr>
            <w:tcW w:w="1984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118928,6</w:t>
            </w:r>
          </w:p>
        </w:tc>
        <w:tc>
          <w:tcPr>
            <w:tcW w:w="1559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+2545,1</w:t>
            </w:r>
          </w:p>
        </w:tc>
        <w:tc>
          <w:tcPr>
            <w:tcW w:w="1163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+2,2 %</w:t>
            </w:r>
          </w:p>
        </w:tc>
      </w:tr>
      <w:tr w:rsidR="008E7776" w:rsidRPr="0080722D" w:rsidTr="00643F52">
        <w:trPr>
          <w:trHeight w:val="409"/>
        </w:trPr>
        <w:tc>
          <w:tcPr>
            <w:tcW w:w="2972" w:type="dxa"/>
          </w:tcPr>
          <w:p w:rsidR="008E7776" w:rsidRPr="009D0C06" w:rsidRDefault="008E7776" w:rsidP="008E777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Расходы всего (</w:t>
            </w:r>
            <w:proofErr w:type="spellStart"/>
            <w:r w:rsidRPr="009D0C06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9D0C0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5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168335,8</w:t>
            </w:r>
          </w:p>
        </w:tc>
        <w:tc>
          <w:tcPr>
            <w:tcW w:w="1984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170880,9</w:t>
            </w:r>
          </w:p>
        </w:tc>
        <w:tc>
          <w:tcPr>
            <w:tcW w:w="1559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+2545,1</w:t>
            </w:r>
          </w:p>
        </w:tc>
        <w:tc>
          <w:tcPr>
            <w:tcW w:w="1163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+1,5 %</w:t>
            </w:r>
          </w:p>
        </w:tc>
      </w:tr>
      <w:tr w:rsidR="008E7776" w:rsidRPr="0080722D" w:rsidTr="00643F52">
        <w:trPr>
          <w:trHeight w:val="391"/>
        </w:trPr>
        <w:tc>
          <w:tcPr>
            <w:tcW w:w="2972" w:type="dxa"/>
          </w:tcPr>
          <w:p w:rsidR="008E7776" w:rsidRPr="009D0C06" w:rsidRDefault="008E7776" w:rsidP="008E7776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Дефицит (-</w:t>
            </w:r>
            <w:proofErr w:type="gramStart"/>
            <w:r w:rsidRPr="009D0C06">
              <w:rPr>
                <w:rFonts w:ascii="Times New Roman" w:hAnsi="Times New Roman"/>
                <w:sz w:val="16"/>
                <w:szCs w:val="16"/>
              </w:rPr>
              <w:t>)  (</w:t>
            </w:r>
            <w:proofErr w:type="gramEnd"/>
            <w:r w:rsidRPr="009D0C06">
              <w:rPr>
                <w:rFonts w:ascii="Times New Roman" w:hAnsi="Times New Roman"/>
                <w:sz w:val="16"/>
                <w:szCs w:val="16"/>
              </w:rPr>
              <w:t>профицит (+) ) бюджета</w:t>
            </w:r>
          </w:p>
        </w:tc>
        <w:tc>
          <w:tcPr>
            <w:tcW w:w="1985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984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-10033,3</w:t>
            </w:r>
          </w:p>
        </w:tc>
        <w:tc>
          <w:tcPr>
            <w:tcW w:w="1559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8E7776" w:rsidRPr="00643F52" w:rsidRDefault="008E7776" w:rsidP="008E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0115" w:rsidRDefault="00540115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8EA" w:rsidRDefault="00380B16" w:rsidP="00327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0C466F">
        <w:rPr>
          <w:rFonts w:ascii="Times New Roman" w:hAnsi="Times New Roman"/>
          <w:sz w:val="28"/>
          <w:szCs w:val="28"/>
        </w:rPr>
        <w:t xml:space="preserve"> </w:t>
      </w:r>
      <w:r w:rsidR="00530DB4">
        <w:rPr>
          <w:rFonts w:ascii="Times New Roman" w:hAnsi="Times New Roman"/>
          <w:sz w:val="28"/>
          <w:szCs w:val="28"/>
        </w:rPr>
        <w:t xml:space="preserve">планового объема </w:t>
      </w:r>
      <w:r w:rsidR="00122E1C" w:rsidRPr="00B022D5">
        <w:rPr>
          <w:rFonts w:ascii="Times New Roman" w:hAnsi="Times New Roman"/>
          <w:sz w:val="28"/>
          <w:szCs w:val="28"/>
        </w:rPr>
        <w:t>нал</w:t>
      </w:r>
      <w:r w:rsidR="000C466F">
        <w:rPr>
          <w:rFonts w:ascii="Times New Roman" w:hAnsi="Times New Roman"/>
          <w:sz w:val="28"/>
          <w:szCs w:val="28"/>
        </w:rPr>
        <w:t>оговых и неналоговых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27A5">
        <w:rPr>
          <w:rFonts w:ascii="Times New Roman" w:hAnsi="Times New Roman"/>
          <w:sz w:val="28"/>
          <w:szCs w:val="28"/>
        </w:rPr>
        <w:t>проектом решения не предусмотрено.</w:t>
      </w:r>
      <w:r w:rsidR="008E7776">
        <w:rPr>
          <w:rFonts w:ascii="Times New Roman" w:hAnsi="Times New Roman"/>
          <w:sz w:val="28"/>
          <w:szCs w:val="28"/>
        </w:rPr>
        <w:t xml:space="preserve"> Проектом решения предлагается:</w:t>
      </w:r>
    </w:p>
    <w:p w:rsidR="003272D2" w:rsidRPr="003272D2" w:rsidRDefault="008E7776" w:rsidP="003272D2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2D2">
        <w:rPr>
          <w:rFonts w:ascii="Times New Roman" w:hAnsi="Times New Roman"/>
          <w:sz w:val="28"/>
          <w:szCs w:val="28"/>
        </w:rPr>
        <w:t>уменьшить плановые показатели</w:t>
      </w:r>
      <w:r w:rsidR="003272D2" w:rsidRPr="003272D2">
        <w:rPr>
          <w:rFonts w:ascii="Times New Roman" w:hAnsi="Times New Roman"/>
          <w:sz w:val="28"/>
          <w:szCs w:val="28"/>
        </w:rPr>
        <w:t xml:space="preserve"> налоговых доходов в целом на 179,7 </w:t>
      </w:r>
      <w:proofErr w:type="spellStart"/>
      <w:r w:rsidR="003272D2" w:rsidRPr="003272D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272D2" w:rsidRPr="003272D2">
        <w:rPr>
          <w:rFonts w:ascii="Times New Roman" w:hAnsi="Times New Roman"/>
          <w:sz w:val="28"/>
          <w:szCs w:val="28"/>
        </w:rPr>
        <w:t xml:space="preserve"> (-0,5 %), в том числе:</w:t>
      </w:r>
      <w:r w:rsidRPr="003272D2">
        <w:rPr>
          <w:rFonts w:ascii="Times New Roman" w:hAnsi="Times New Roman"/>
          <w:sz w:val="28"/>
          <w:szCs w:val="28"/>
        </w:rPr>
        <w:t xml:space="preserve"> </w:t>
      </w:r>
      <w:r w:rsidR="003272D2" w:rsidRPr="003272D2">
        <w:rPr>
          <w:rFonts w:ascii="Times New Roman" w:hAnsi="Times New Roman"/>
          <w:sz w:val="28"/>
          <w:szCs w:val="28"/>
        </w:rPr>
        <w:t xml:space="preserve">уменьшить </w:t>
      </w:r>
      <w:r w:rsidRPr="003272D2">
        <w:rPr>
          <w:rFonts w:ascii="Times New Roman" w:hAnsi="Times New Roman"/>
          <w:sz w:val="28"/>
          <w:szCs w:val="28"/>
        </w:rPr>
        <w:t xml:space="preserve">на 405,7 </w:t>
      </w:r>
      <w:proofErr w:type="spellStart"/>
      <w:r w:rsidRPr="003272D2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272D2">
        <w:rPr>
          <w:rFonts w:ascii="Times New Roman" w:hAnsi="Times New Roman"/>
          <w:sz w:val="28"/>
          <w:szCs w:val="28"/>
        </w:rPr>
        <w:t xml:space="preserve"> по н</w:t>
      </w:r>
      <w:r w:rsidR="003272D2" w:rsidRPr="003272D2">
        <w:rPr>
          <w:rFonts w:ascii="Times New Roman" w:hAnsi="Times New Roman"/>
          <w:sz w:val="28"/>
          <w:szCs w:val="28"/>
        </w:rPr>
        <w:t>алогу на доходы физических лиц,</w:t>
      </w:r>
      <w:r w:rsidRPr="003272D2">
        <w:rPr>
          <w:rFonts w:ascii="Times New Roman" w:hAnsi="Times New Roman"/>
          <w:sz w:val="28"/>
          <w:szCs w:val="28"/>
        </w:rPr>
        <w:t xml:space="preserve"> </w:t>
      </w:r>
      <w:r w:rsidR="003272D2" w:rsidRPr="003272D2">
        <w:rPr>
          <w:rFonts w:ascii="Times New Roman" w:hAnsi="Times New Roman"/>
          <w:sz w:val="28"/>
          <w:szCs w:val="28"/>
        </w:rPr>
        <w:t xml:space="preserve">уменьшить </w:t>
      </w:r>
      <w:r w:rsidRPr="003272D2">
        <w:rPr>
          <w:rFonts w:ascii="Times New Roman" w:hAnsi="Times New Roman"/>
          <w:sz w:val="28"/>
          <w:szCs w:val="28"/>
        </w:rPr>
        <w:t xml:space="preserve">на </w:t>
      </w:r>
      <w:r w:rsidR="003272D2" w:rsidRPr="003272D2">
        <w:rPr>
          <w:rFonts w:ascii="Times New Roman" w:hAnsi="Times New Roman"/>
          <w:sz w:val="28"/>
          <w:szCs w:val="28"/>
        </w:rPr>
        <w:t xml:space="preserve">4,0 </w:t>
      </w:r>
      <w:proofErr w:type="spellStart"/>
      <w:r w:rsidR="003272D2" w:rsidRPr="003272D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272D2" w:rsidRPr="003272D2">
        <w:rPr>
          <w:rFonts w:ascii="Times New Roman" w:hAnsi="Times New Roman"/>
          <w:sz w:val="28"/>
          <w:szCs w:val="28"/>
        </w:rPr>
        <w:t xml:space="preserve"> по единому сельскохозяйственному налогу, увеличить план на 230,0 </w:t>
      </w:r>
      <w:proofErr w:type="spellStart"/>
      <w:r w:rsidR="003272D2" w:rsidRPr="003272D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272D2" w:rsidRPr="003272D2">
        <w:rPr>
          <w:rFonts w:ascii="Times New Roman" w:hAnsi="Times New Roman"/>
          <w:sz w:val="28"/>
          <w:szCs w:val="28"/>
        </w:rPr>
        <w:t xml:space="preserve"> по земельному налогу;</w:t>
      </w:r>
    </w:p>
    <w:p w:rsidR="003272D2" w:rsidRPr="003272D2" w:rsidRDefault="003272D2" w:rsidP="003272D2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плановый показатель на 179,7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неналоговым доходам (+4,2 %). а именно по доходам от продажи материальных и </w:t>
      </w:r>
      <w:r>
        <w:rPr>
          <w:rFonts w:ascii="Times New Roman" w:hAnsi="Times New Roman"/>
          <w:sz w:val="28"/>
          <w:szCs w:val="28"/>
        </w:rPr>
        <w:lastRenderedPageBreak/>
        <w:t xml:space="preserve">нематериальных активов, на 0,7 тыс. рублей по доходам от оказания платных услуг (работ) и компенсации затрат государства. </w:t>
      </w:r>
      <w:r w:rsidRPr="003272D2">
        <w:rPr>
          <w:rFonts w:ascii="Times New Roman" w:hAnsi="Times New Roman"/>
          <w:sz w:val="28"/>
          <w:szCs w:val="28"/>
        </w:rPr>
        <w:t xml:space="preserve">  </w:t>
      </w:r>
    </w:p>
    <w:p w:rsidR="00380B16" w:rsidRDefault="00380B16" w:rsidP="00530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AD1" w:rsidRDefault="003B555D" w:rsidP="00E92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55D">
        <w:rPr>
          <w:rFonts w:ascii="Times New Roman" w:hAnsi="Times New Roman"/>
          <w:sz w:val="28"/>
          <w:szCs w:val="28"/>
        </w:rPr>
        <w:t>Проектом решения предлагается внести изменения в объем безвозмездных поступлений</w:t>
      </w:r>
      <w:r w:rsidR="003272D2">
        <w:rPr>
          <w:rFonts w:ascii="Times New Roman" w:hAnsi="Times New Roman"/>
          <w:sz w:val="28"/>
          <w:szCs w:val="28"/>
        </w:rPr>
        <w:t xml:space="preserve"> (+2545,1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C1746">
        <w:rPr>
          <w:rFonts w:ascii="Times New Roman" w:hAnsi="Times New Roman"/>
          <w:sz w:val="28"/>
          <w:szCs w:val="28"/>
        </w:rPr>
        <w:t xml:space="preserve"> или на 2,2 %</w:t>
      </w:r>
      <w:r>
        <w:rPr>
          <w:rFonts w:ascii="Times New Roman" w:hAnsi="Times New Roman"/>
          <w:sz w:val="28"/>
          <w:szCs w:val="28"/>
        </w:rPr>
        <w:t>)</w:t>
      </w:r>
      <w:r w:rsidRPr="003B555D">
        <w:rPr>
          <w:rFonts w:ascii="Times New Roman" w:hAnsi="Times New Roman"/>
          <w:sz w:val="28"/>
          <w:szCs w:val="28"/>
        </w:rPr>
        <w:t>, в том числе объем дотаций на сбалансированность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272D2">
        <w:rPr>
          <w:rFonts w:ascii="Times New Roman" w:hAnsi="Times New Roman"/>
          <w:sz w:val="28"/>
          <w:szCs w:val="28"/>
        </w:rPr>
        <w:t>бюджета увеличивается на 5302,8</w:t>
      </w:r>
      <w:r w:rsidRPr="003B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55D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B555D">
        <w:rPr>
          <w:rFonts w:ascii="Times New Roman" w:hAnsi="Times New Roman"/>
          <w:sz w:val="28"/>
          <w:szCs w:val="28"/>
        </w:rPr>
        <w:t xml:space="preserve"> </w:t>
      </w:r>
      <w:r w:rsidR="008C1746">
        <w:rPr>
          <w:rFonts w:ascii="Times New Roman" w:hAnsi="Times New Roman"/>
          <w:sz w:val="28"/>
          <w:szCs w:val="28"/>
        </w:rPr>
        <w:t xml:space="preserve">(+25,5 %) </w:t>
      </w:r>
      <w:r w:rsidRPr="003B555D">
        <w:rPr>
          <w:rFonts w:ascii="Times New Roman" w:hAnsi="Times New Roman"/>
          <w:sz w:val="28"/>
          <w:szCs w:val="28"/>
        </w:rPr>
        <w:t>и</w:t>
      </w:r>
      <w:r w:rsidR="003272D2">
        <w:rPr>
          <w:rFonts w:ascii="Times New Roman" w:hAnsi="Times New Roman"/>
          <w:sz w:val="28"/>
          <w:szCs w:val="28"/>
        </w:rPr>
        <w:t xml:space="preserve"> составит 23404,7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B55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Объем</w:t>
      </w:r>
      <w:r w:rsidR="003272D2">
        <w:rPr>
          <w:rFonts w:ascii="Times New Roman" w:hAnsi="Times New Roman"/>
          <w:sz w:val="28"/>
          <w:szCs w:val="28"/>
        </w:rPr>
        <w:t xml:space="preserve"> субсидий сокращается на 2363,0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C1746">
        <w:rPr>
          <w:rFonts w:ascii="Times New Roman" w:hAnsi="Times New Roman"/>
          <w:sz w:val="28"/>
          <w:szCs w:val="28"/>
        </w:rPr>
        <w:t xml:space="preserve"> (-9,7 %). На 36,6 </w:t>
      </w:r>
      <w:proofErr w:type="spellStart"/>
      <w:r w:rsidR="008C17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C1746">
        <w:rPr>
          <w:rFonts w:ascii="Times New Roman" w:hAnsi="Times New Roman"/>
          <w:sz w:val="28"/>
          <w:szCs w:val="28"/>
        </w:rPr>
        <w:t xml:space="preserve"> сокращается план поступлений от негосударственных организаций и прочие безвозмездные поступления сокращаются на 358,1 </w:t>
      </w:r>
      <w:proofErr w:type="spellStart"/>
      <w:r w:rsidR="008C174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C1746">
        <w:rPr>
          <w:rFonts w:ascii="Times New Roman" w:hAnsi="Times New Roman"/>
          <w:sz w:val="28"/>
          <w:szCs w:val="28"/>
        </w:rPr>
        <w:t>.</w:t>
      </w:r>
    </w:p>
    <w:p w:rsidR="00E928EA" w:rsidRPr="00B022D5" w:rsidRDefault="00E928EA" w:rsidP="00E92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42" w:rsidRPr="00B022D5" w:rsidRDefault="00E10C42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Общий </w:t>
      </w:r>
      <w:r w:rsidR="00BF23FA">
        <w:rPr>
          <w:rFonts w:ascii="Times New Roman" w:hAnsi="Times New Roman"/>
          <w:sz w:val="28"/>
          <w:szCs w:val="28"/>
        </w:rPr>
        <w:t xml:space="preserve">плановый </w:t>
      </w:r>
      <w:r w:rsidRPr="00B022D5">
        <w:rPr>
          <w:rFonts w:ascii="Times New Roman" w:hAnsi="Times New Roman"/>
          <w:sz w:val="28"/>
          <w:szCs w:val="28"/>
        </w:rPr>
        <w:t xml:space="preserve">объем доходов муниципального образования «Город Вытегра» </w:t>
      </w:r>
      <w:r w:rsidR="00530DB4">
        <w:rPr>
          <w:rFonts w:ascii="Times New Roman" w:hAnsi="Times New Roman"/>
          <w:sz w:val="28"/>
          <w:szCs w:val="28"/>
        </w:rPr>
        <w:t xml:space="preserve">предлагается </w:t>
      </w:r>
      <w:proofErr w:type="gramStart"/>
      <w:r w:rsidR="00530DB4">
        <w:rPr>
          <w:rFonts w:ascii="Times New Roman" w:hAnsi="Times New Roman"/>
          <w:sz w:val="28"/>
          <w:szCs w:val="28"/>
        </w:rPr>
        <w:t>утв</w:t>
      </w:r>
      <w:r w:rsidR="008C1746">
        <w:rPr>
          <w:rFonts w:ascii="Times New Roman" w:hAnsi="Times New Roman"/>
          <w:sz w:val="28"/>
          <w:szCs w:val="28"/>
        </w:rPr>
        <w:t>ердить  в</w:t>
      </w:r>
      <w:proofErr w:type="gramEnd"/>
      <w:r w:rsidR="008C1746">
        <w:rPr>
          <w:rFonts w:ascii="Times New Roman" w:hAnsi="Times New Roman"/>
          <w:sz w:val="28"/>
          <w:szCs w:val="28"/>
        </w:rPr>
        <w:t xml:space="preserve"> сумме 160847,6</w:t>
      </w:r>
      <w:r w:rsidR="00E92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2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22D5">
        <w:rPr>
          <w:rFonts w:ascii="Times New Roman" w:hAnsi="Times New Roman"/>
          <w:sz w:val="28"/>
          <w:szCs w:val="28"/>
        </w:rPr>
        <w:t>.</w:t>
      </w:r>
    </w:p>
    <w:p w:rsidR="00CC357B" w:rsidRPr="00B022D5" w:rsidRDefault="00CC357B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017" w:rsidRDefault="0031486D" w:rsidP="00E928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B3A9C">
        <w:rPr>
          <w:rFonts w:ascii="Times New Roman" w:hAnsi="Times New Roman"/>
          <w:sz w:val="28"/>
          <w:szCs w:val="28"/>
        </w:rPr>
        <w:t>Проектом решения</w:t>
      </w:r>
      <w:r w:rsidR="001E0A76" w:rsidRPr="00CB3A9C">
        <w:rPr>
          <w:rFonts w:ascii="Times New Roman" w:hAnsi="Times New Roman"/>
          <w:sz w:val="28"/>
          <w:szCs w:val="28"/>
        </w:rPr>
        <w:t xml:space="preserve"> </w:t>
      </w:r>
      <w:r w:rsidRPr="00CB3A9C">
        <w:rPr>
          <w:rFonts w:ascii="Times New Roman" w:hAnsi="Times New Roman"/>
          <w:sz w:val="28"/>
          <w:szCs w:val="28"/>
        </w:rPr>
        <w:t>общий</w:t>
      </w:r>
      <w:r w:rsidR="00F0195A" w:rsidRPr="00CB3A9C">
        <w:rPr>
          <w:rFonts w:ascii="Times New Roman" w:hAnsi="Times New Roman"/>
          <w:sz w:val="28"/>
          <w:szCs w:val="28"/>
        </w:rPr>
        <w:t xml:space="preserve"> объем расходов </w:t>
      </w:r>
      <w:r w:rsidR="00E10C42" w:rsidRPr="00CB3A9C">
        <w:rPr>
          <w:rFonts w:ascii="Times New Roman" w:hAnsi="Times New Roman"/>
          <w:sz w:val="28"/>
          <w:szCs w:val="28"/>
        </w:rPr>
        <w:t xml:space="preserve">бюджета </w:t>
      </w:r>
      <w:r w:rsidR="000667EB">
        <w:rPr>
          <w:rFonts w:ascii="Times New Roman" w:hAnsi="Times New Roman"/>
          <w:sz w:val="28"/>
          <w:szCs w:val="28"/>
        </w:rPr>
        <w:t>увеличивается</w:t>
      </w:r>
      <w:r w:rsidR="003B6AE2">
        <w:rPr>
          <w:rFonts w:ascii="Times New Roman" w:hAnsi="Times New Roman"/>
          <w:sz w:val="28"/>
          <w:szCs w:val="28"/>
        </w:rPr>
        <w:t xml:space="preserve"> на сумму </w:t>
      </w:r>
      <w:r w:rsidR="008C1746">
        <w:rPr>
          <w:rFonts w:ascii="Times New Roman" w:hAnsi="Times New Roman"/>
          <w:sz w:val="28"/>
          <w:szCs w:val="28"/>
        </w:rPr>
        <w:t>увеличения доходов или на 2545,1</w:t>
      </w:r>
      <w:r w:rsidR="00066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7E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C1746">
        <w:rPr>
          <w:rFonts w:ascii="Times New Roman" w:hAnsi="Times New Roman"/>
          <w:sz w:val="28"/>
          <w:szCs w:val="28"/>
        </w:rPr>
        <w:t xml:space="preserve"> (+1,5 %) и составит 170880,9</w:t>
      </w:r>
      <w:r w:rsidR="00CC357B" w:rsidRPr="00CB3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57B" w:rsidRPr="00CB3A9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C357B" w:rsidRPr="00CB3A9C">
        <w:rPr>
          <w:rFonts w:ascii="Times New Roman" w:hAnsi="Times New Roman"/>
          <w:sz w:val="28"/>
          <w:szCs w:val="28"/>
        </w:rPr>
        <w:t>.</w:t>
      </w:r>
      <w:r w:rsidR="00D335DF" w:rsidRPr="00CB3A9C">
        <w:rPr>
          <w:rFonts w:ascii="Times New Roman" w:hAnsi="Times New Roman"/>
          <w:sz w:val="28"/>
          <w:szCs w:val="28"/>
        </w:rPr>
        <w:t xml:space="preserve"> </w:t>
      </w:r>
      <w:r w:rsidR="00EB62AA" w:rsidRPr="00CB3A9C">
        <w:rPr>
          <w:rFonts w:ascii="Times New Roman" w:hAnsi="Times New Roman"/>
          <w:sz w:val="28"/>
          <w:szCs w:val="28"/>
        </w:rPr>
        <w:t xml:space="preserve">  </w:t>
      </w:r>
    </w:p>
    <w:p w:rsidR="00A1796A" w:rsidRDefault="008C1746" w:rsidP="00E928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A1796A">
        <w:rPr>
          <w:rFonts w:ascii="Times New Roman" w:hAnsi="Times New Roman"/>
          <w:sz w:val="28"/>
          <w:szCs w:val="28"/>
        </w:rPr>
        <w:t xml:space="preserve"> плановых ассигнований в разделе </w:t>
      </w:r>
      <w:r w:rsidR="00A1796A" w:rsidRPr="00A1796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A1796A">
        <w:rPr>
          <w:rFonts w:ascii="Times New Roman" w:hAnsi="Times New Roman"/>
          <w:b/>
          <w:sz w:val="28"/>
          <w:szCs w:val="28"/>
        </w:rPr>
        <w:t xml:space="preserve"> </w:t>
      </w:r>
      <w:r w:rsidR="00A1796A" w:rsidRPr="00A1796A">
        <w:rPr>
          <w:rFonts w:ascii="Times New Roman" w:hAnsi="Times New Roman"/>
          <w:sz w:val="28"/>
          <w:szCs w:val="28"/>
        </w:rPr>
        <w:t xml:space="preserve">связано </w:t>
      </w:r>
      <w:r>
        <w:rPr>
          <w:rFonts w:ascii="Times New Roman" w:hAnsi="Times New Roman"/>
          <w:sz w:val="28"/>
          <w:szCs w:val="28"/>
        </w:rPr>
        <w:t>со сложившейся экономией средств.</w:t>
      </w:r>
    </w:p>
    <w:p w:rsidR="00A1796A" w:rsidRDefault="00A1796A" w:rsidP="00A1796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1796A">
        <w:rPr>
          <w:rFonts w:ascii="Times New Roman" w:hAnsi="Times New Roman"/>
          <w:i/>
          <w:sz w:val="28"/>
          <w:szCs w:val="28"/>
        </w:rPr>
        <w:t xml:space="preserve">подразделе 0103 «Функционирование законодательных (представительных) </w:t>
      </w:r>
      <w:proofErr w:type="gramStart"/>
      <w:r w:rsidRPr="00A1796A">
        <w:rPr>
          <w:rFonts w:ascii="Times New Roman" w:hAnsi="Times New Roman"/>
          <w:i/>
          <w:sz w:val="28"/>
          <w:szCs w:val="28"/>
        </w:rPr>
        <w:t>органов  государственной</w:t>
      </w:r>
      <w:proofErr w:type="gramEnd"/>
      <w:r w:rsidRPr="00A1796A">
        <w:rPr>
          <w:rFonts w:ascii="Times New Roman" w:hAnsi="Times New Roman"/>
          <w:i/>
          <w:sz w:val="28"/>
          <w:szCs w:val="28"/>
        </w:rPr>
        <w:t xml:space="preserve"> власти и представительных органов муниципальных образований»</w:t>
      </w:r>
      <w:r w:rsidR="008C1746">
        <w:rPr>
          <w:rFonts w:ascii="Times New Roman" w:hAnsi="Times New Roman"/>
          <w:sz w:val="28"/>
          <w:szCs w:val="28"/>
        </w:rPr>
        <w:t xml:space="preserve"> сокращение расходов  предусмотрено в сумме 29,3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C1746">
        <w:rPr>
          <w:rFonts w:ascii="Times New Roman" w:hAnsi="Times New Roman"/>
          <w:sz w:val="28"/>
          <w:szCs w:val="28"/>
        </w:rPr>
        <w:t xml:space="preserve"> (-6,4 %)</w:t>
      </w:r>
      <w:r>
        <w:rPr>
          <w:rFonts w:ascii="Times New Roman" w:hAnsi="Times New Roman"/>
          <w:sz w:val="28"/>
          <w:szCs w:val="28"/>
        </w:rPr>
        <w:t>;</w:t>
      </w:r>
    </w:p>
    <w:p w:rsidR="00E95480" w:rsidRDefault="008C1746" w:rsidP="00A17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187,8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(-2,0 </w:t>
      </w:r>
      <w:r w:rsidR="00A1796A" w:rsidRPr="00A1796A">
        <w:rPr>
          <w:rFonts w:ascii="Times New Roman" w:hAnsi="Times New Roman"/>
          <w:sz w:val="28"/>
          <w:szCs w:val="28"/>
        </w:rPr>
        <w:t>%) предусмотрено</w:t>
      </w:r>
      <w:r>
        <w:rPr>
          <w:rFonts w:ascii="Times New Roman" w:hAnsi="Times New Roman"/>
          <w:sz w:val="28"/>
          <w:szCs w:val="28"/>
        </w:rPr>
        <w:t xml:space="preserve"> сокращение</w:t>
      </w:r>
      <w:r w:rsidR="00A1796A" w:rsidRPr="00A1796A">
        <w:rPr>
          <w:rFonts w:ascii="Times New Roman" w:hAnsi="Times New Roman"/>
          <w:sz w:val="28"/>
          <w:szCs w:val="28"/>
        </w:rPr>
        <w:t xml:space="preserve"> в подразделе </w:t>
      </w:r>
      <w:r w:rsidR="00A1796A" w:rsidRPr="00A1796A">
        <w:rPr>
          <w:rFonts w:ascii="Times New Roman" w:hAnsi="Times New Roman"/>
          <w:i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администраций»</w:t>
      </w:r>
      <w:r>
        <w:rPr>
          <w:rFonts w:ascii="Times New Roman" w:hAnsi="Times New Roman"/>
          <w:sz w:val="28"/>
          <w:szCs w:val="28"/>
        </w:rPr>
        <w:t xml:space="preserve">, из них по закупкам товаров, работ и услуг сокращение на 250,0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увеличение</w:t>
      </w:r>
      <w:r w:rsidR="00A1796A">
        <w:rPr>
          <w:rFonts w:ascii="Times New Roman" w:hAnsi="Times New Roman"/>
          <w:sz w:val="28"/>
          <w:szCs w:val="28"/>
        </w:rPr>
        <w:t xml:space="preserve"> перечисляемых</w:t>
      </w:r>
      <w:r w:rsidR="00A1796A" w:rsidRPr="00A1796A">
        <w:rPr>
          <w:rFonts w:ascii="Times New Roman" w:hAnsi="Times New Roman"/>
          <w:sz w:val="28"/>
          <w:szCs w:val="28"/>
        </w:rPr>
        <w:t xml:space="preserve"> иных межбюджетных трансфертов в соответствии с принятым</w:t>
      </w:r>
      <w:r w:rsidR="00A1796A">
        <w:rPr>
          <w:rFonts w:ascii="Times New Roman" w:hAnsi="Times New Roman"/>
          <w:sz w:val="28"/>
          <w:szCs w:val="28"/>
        </w:rPr>
        <w:t>и Городским Советом решениями</w:t>
      </w:r>
      <w:r w:rsidR="00A1796A" w:rsidRPr="00A1796A">
        <w:rPr>
          <w:rFonts w:ascii="Times New Roman" w:hAnsi="Times New Roman"/>
          <w:sz w:val="28"/>
          <w:szCs w:val="28"/>
        </w:rPr>
        <w:t xml:space="preserve"> о передаче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796A">
        <w:rPr>
          <w:rFonts w:ascii="Times New Roman" w:hAnsi="Times New Roman"/>
          <w:sz w:val="28"/>
          <w:szCs w:val="28"/>
        </w:rPr>
        <w:t>в сфер</w:t>
      </w:r>
      <w:r>
        <w:rPr>
          <w:rFonts w:ascii="Times New Roman" w:hAnsi="Times New Roman"/>
          <w:sz w:val="28"/>
          <w:szCs w:val="28"/>
        </w:rPr>
        <w:t>е благоустройства на 62,2</w:t>
      </w:r>
      <w:r w:rsidR="00A17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96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1796A">
        <w:rPr>
          <w:rFonts w:ascii="Times New Roman" w:hAnsi="Times New Roman"/>
          <w:sz w:val="28"/>
          <w:szCs w:val="28"/>
        </w:rPr>
        <w:t>,</w:t>
      </w:r>
    </w:p>
    <w:p w:rsidR="00A1796A" w:rsidRDefault="008C1746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плановых ассигнований</w:t>
      </w:r>
      <w:r w:rsidR="005967D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 xml:space="preserve">подразделе </w:t>
      </w:r>
      <w:proofErr w:type="gramStart"/>
      <w:r>
        <w:rPr>
          <w:rFonts w:ascii="Times New Roman" w:hAnsi="Times New Roman"/>
          <w:i/>
          <w:sz w:val="28"/>
          <w:szCs w:val="28"/>
        </w:rPr>
        <w:t>0111</w:t>
      </w:r>
      <w:r w:rsidR="005967D4" w:rsidRPr="005967D4">
        <w:rPr>
          <w:rFonts w:ascii="Times New Roman" w:hAnsi="Times New Roman"/>
          <w:i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Резервные фонды» </w:t>
      </w:r>
      <w:r>
        <w:rPr>
          <w:rFonts w:ascii="Times New Roman" w:hAnsi="Times New Roman"/>
          <w:sz w:val="28"/>
          <w:szCs w:val="28"/>
        </w:rPr>
        <w:t xml:space="preserve">составит 100,0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(-100,0</w:t>
      </w:r>
      <w:r w:rsidR="00AD0C49">
        <w:rPr>
          <w:rFonts w:ascii="Times New Roman" w:hAnsi="Times New Roman"/>
          <w:sz w:val="28"/>
          <w:szCs w:val="28"/>
        </w:rPr>
        <w:t xml:space="preserve"> %), в связи с не востребованностью.</w:t>
      </w:r>
    </w:p>
    <w:p w:rsidR="00AD0C49" w:rsidRDefault="00AD0C49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0113 «Другие общегосударственные вопросы» увеличение предусмотрено в сумме 212,5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(+15,8 %), в том числе:</w:t>
      </w:r>
    </w:p>
    <w:p w:rsidR="00AD0C49" w:rsidRDefault="00AD0C49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сокращаются </w:t>
      </w:r>
      <w:proofErr w:type="gramStart"/>
      <w:r>
        <w:rPr>
          <w:rFonts w:ascii="Times New Roman" w:hAnsi="Times New Roman"/>
          <w:sz w:val="28"/>
          <w:szCs w:val="28"/>
        </w:rPr>
        <w:t>ассигнования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ранее на оплату землеустроительных работ на 150,0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D0C49" w:rsidRDefault="00AD0C49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-увеличение на 362,5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предлагается расходов на исполнение судебных актов и мировых соглашений.</w:t>
      </w:r>
    </w:p>
    <w:p w:rsidR="00AD0C49" w:rsidRDefault="00AD0C49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81A" w:rsidRPr="003B00C8" w:rsidRDefault="0063181A" w:rsidP="003B0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Предусматривается сокращение ассигнований в разделе </w:t>
      </w:r>
      <w:r w:rsidRPr="003B00C8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3B00C8">
        <w:rPr>
          <w:rFonts w:ascii="Times New Roman" w:hAnsi="Times New Roman"/>
          <w:sz w:val="28"/>
          <w:szCs w:val="28"/>
        </w:rPr>
        <w:t xml:space="preserve"> на 800,3 </w:t>
      </w:r>
      <w:proofErr w:type="spellStart"/>
      <w:r w:rsidR="003B00C8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00C8">
        <w:rPr>
          <w:rFonts w:ascii="Times New Roman" w:hAnsi="Times New Roman"/>
          <w:sz w:val="28"/>
          <w:szCs w:val="28"/>
        </w:rPr>
        <w:t xml:space="preserve"> (-8,8 %), в том числе в </w:t>
      </w:r>
      <w:r w:rsidR="003B00C8" w:rsidRPr="003B00C8">
        <w:rPr>
          <w:rFonts w:ascii="Times New Roman" w:hAnsi="Times New Roman"/>
          <w:i/>
          <w:sz w:val="28"/>
          <w:szCs w:val="28"/>
        </w:rPr>
        <w:t>подразделе 0310 «Защита населения и территории от чрезвычайных ситуаций природного и техногенного характера, пожарная безопасность»</w:t>
      </w:r>
      <w:r w:rsidR="003B00C8">
        <w:rPr>
          <w:rFonts w:ascii="Times New Roman" w:hAnsi="Times New Roman"/>
          <w:i/>
          <w:sz w:val="28"/>
          <w:szCs w:val="28"/>
        </w:rPr>
        <w:t xml:space="preserve">. </w:t>
      </w:r>
      <w:r w:rsidR="003B00C8" w:rsidRPr="003B00C8">
        <w:rPr>
          <w:rFonts w:ascii="Times New Roman" w:hAnsi="Times New Roman"/>
          <w:sz w:val="28"/>
          <w:szCs w:val="28"/>
        </w:rPr>
        <w:t>Изменения связаны со сложившейся экономией по конкурсным процедурам.</w:t>
      </w:r>
    </w:p>
    <w:p w:rsidR="0063181A" w:rsidRDefault="0063181A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C49" w:rsidRPr="0063181A" w:rsidRDefault="00AD0C49" w:rsidP="00AA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7F2" w:rsidRPr="00AA37F2" w:rsidRDefault="00AA37F2" w:rsidP="00631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81A">
        <w:rPr>
          <w:rFonts w:ascii="Times New Roman" w:hAnsi="Times New Roman"/>
          <w:sz w:val="28"/>
          <w:szCs w:val="28"/>
        </w:rPr>
        <w:lastRenderedPageBreak/>
        <w:t>Проектом решения пр</w:t>
      </w:r>
      <w:r w:rsidR="003B00C8">
        <w:rPr>
          <w:rFonts w:ascii="Times New Roman" w:hAnsi="Times New Roman"/>
          <w:sz w:val="28"/>
          <w:szCs w:val="28"/>
        </w:rPr>
        <w:t>едусмотрено увеличение на 700,0</w:t>
      </w:r>
      <w:r w:rsidRPr="00631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81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B00C8">
        <w:rPr>
          <w:rFonts w:ascii="Times New Roman" w:hAnsi="Times New Roman"/>
          <w:sz w:val="28"/>
          <w:szCs w:val="28"/>
        </w:rPr>
        <w:t xml:space="preserve"> (+2,3</w:t>
      </w:r>
      <w:r w:rsidRPr="0063181A">
        <w:rPr>
          <w:rFonts w:ascii="Times New Roman" w:hAnsi="Times New Roman"/>
          <w:sz w:val="28"/>
          <w:szCs w:val="28"/>
        </w:rPr>
        <w:t xml:space="preserve"> %) ассигнований в разделе </w:t>
      </w:r>
      <w:r w:rsidRPr="0063181A">
        <w:rPr>
          <w:rFonts w:ascii="Times New Roman" w:hAnsi="Times New Roman"/>
          <w:b/>
          <w:sz w:val="28"/>
          <w:szCs w:val="28"/>
        </w:rPr>
        <w:t xml:space="preserve">04 «Национальная экономика». </w:t>
      </w:r>
      <w:r w:rsidRPr="0063181A">
        <w:rPr>
          <w:rFonts w:ascii="Times New Roman" w:hAnsi="Times New Roman"/>
          <w:sz w:val="28"/>
          <w:szCs w:val="28"/>
        </w:rPr>
        <w:t xml:space="preserve">Дополнительное финансирование предлагается направить в Дорожный фонд – </w:t>
      </w:r>
      <w:r w:rsidRPr="0063181A">
        <w:rPr>
          <w:rFonts w:ascii="Times New Roman" w:hAnsi="Times New Roman"/>
          <w:i/>
          <w:sz w:val="28"/>
          <w:szCs w:val="28"/>
        </w:rPr>
        <w:t xml:space="preserve">подраздел 0409 «Дорожное хозяйство (дорожные фонды)» </w:t>
      </w:r>
      <w:r w:rsidRPr="0063181A">
        <w:rPr>
          <w:rFonts w:ascii="Times New Roman" w:hAnsi="Times New Roman"/>
          <w:sz w:val="28"/>
          <w:szCs w:val="28"/>
        </w:rPr>
        <w:t xml:space="preserve">для осуществления дорожной деятельности в отношении автомобильных дорог общего пользования местного </w:t>
      </w:r>
      <w:r w:rsidRPr="00AA37F2">
        <w:rPr>
          <w:rFonts w:ascii="Times New Roman" w:hAnsi="Times New Roman"/>
          <w:sz w:val="28"/>
          <w:szCs w:val="28"/>
        </w:rPr>
        <w:t>значения</w:t>
      </w:r>
      <w:r w:rsidR="008102FA">
        <w:rPr>
          <w:rFonts w:ascii="Times New Roman" w:hAnsi="Times New Roman"/>
          <w:sz w:val="28"/>
          <w:szCs w:val="28"/>
        </w:rPr>
        <w:t>.</w:t>
      </w:r>
    </w:p>
    <w:p w:rsidR="00E81FD5" w:rsidRDefault="00E81FD5" w:rsidP="0046100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EB9" w:rsidRDefault="00E928EA" w:rsidP="0046100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Дополнительное финансирование предлагается направить на р</w:t>
      </w:r>
      <w:r w:rsidR="00C63994" w:rsidRPr="00B022D5">
        <w:rPr>
          <w:rFonts w:ascii="Times New Roman" w:hAnsi="Times New Roman"/>
          <w:sz w:val="28"/>
          <w:szCs w:val="28"/>
          <w:lang w:eastAsia="ru-RU"/>
        </w:rPr>
        <w:t xml:space="preserve">асходы раздела </w:t>
      </w:r>
      <w:r w:rsidR="00C63994" w:rsidRPr="00B022D5">
        <w:rPr>
          <w:rFonts w:ascii="Times New Roman" w:hAnsi="Times New Roman"/>
          <w:b/>
          <w:sz w:val="28"/>
          <w:szCs w:val="28"/>
          <w:lang w:eastAsia="ru-RU"/>
        </w:rPr>
        <w:t>05 «Жилищно-коммунальное хозяйство»</w:t>
      </w:r>
      <w:r w:rsidR="003B00C8">
        <w:rPr>
          <w:rFonts w:ascii="Times New Roman" w:hAnsi="Times New Roman"/>
          <w:sz w:val="28"/>
          <w:szCs w:val="28"/>
          <w:lang w:eastAsia="ru-RU"/>
        </w:rPr>
        <w:t xml:space="preserve"> + 2504,1</w:t>
      </w:r>
      <w:r w:rsidR="00950C00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2D2D">
        <w:rPr>
          <w:rFonts w:ascii="Times New Roman" w:hAnsi="Times New Roman"/>
          <w:sz w:val="28"/>
          <w:szCs w:val="28"/>
          <w:lang w:eastAsia="ru-RU"/>
        </w:rPr>
        <w:t>тыс.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00C8">
        <w:rPr>
          <w:rFonts w:ascii="Times New Roman" w:hAnsi="Times New Roman"/>
          <w:sz w:val="28"/>
          <w:szCs w:val="28"/>
          <w:lang w:eastAsia="ru-RU"/>
        </w:rPr>
        <w:t>(+2,3</w:t>
      </w:r>
      <w:r w:rsidR="00E82D2D" w:rsidRPr="00BF23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94" w:rsidRPr="00BF23FA">
        <w:rPr>
          <w:rFonts w:ascii="Times New Roman" w:hAnsi="Times New Roman"/>
          <w:sz w:val="28"/>
          <w:szCs w:val="28"/>
          <w:lang w:eastAsia="ru-RU"/>
        </w:rPr>
        <w:t>%)</w:t>
      </w:r>
      <w:r w:rsidR="004F6B3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00C8" w:rsidRDefault="003B00C8" w:rsidP="003B00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Pr="00EE09B5">
        <w:rPr>
          <w:rFonts w:ascii="Times New Roman" w:hAnsi="Times New Roman"/>
          <w:i/>
          <w:sz w:val="28"/>
          <w:szCs w:val="28"/>
          <w:lang w:eastAsia="ru-RU"/>
        </w:rPr>
        <w:t>подраздела 0503 «Благоустройство</w:t>
      </w:r>
      <w:r w:rsidRPr="00B022D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увеличиваются на 5537,9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(+6,9 </w:t>
      </w:r>
      <w:r w:rsidRPr="00BF23FA">
        <w:rPr>
          <w:rFonts w:ascii="Times New Roman" w:hAnsi="Times New Roman"/>
          <w:sz w:val="28"/>
          <w:szCs w:val="28"/>
          <w:lang w:eastAsia="ru-RU"/>
        </w:rPr>
        <w:t xml:space="preserve">%).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финансирования предусмотрено на реализацию прочих мероприятий по благоустройству. </w:t>
      </w:r>
    </w:p>
    <w:p w:rsidR="00AA37F2" w:rsidRPr="008102FA" w:rsidRDefault="003B00C8" w:rsidP="00AA37F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Сокращение финансирования на 443,3</w:t>
      </w:r>
      <w:r w:rsidR="00AA37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37F2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362C">
        <w:rPr>
          <w:rFonts w:ascii="Times New Roman" w:hAnsi="Times New Roman"/>
          <w:sz w:val="28"/>
          <w:szCs w:val="28"/>
          <w:lang w:eastAsia="ru-RU"/>
        </w:rPr>
        <w:t xml:space="preserve"> (-17,1 %)</w:t>
      </w:r>
      <w:r w:rsidR="00AA37F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AA37F2" w:rsidRPr="00AA37F2">
        <w:rPr>
          <w:rFonts w:ascii="Times New Roman" w:hAnsi="Times New Roman"/>
          <w:i/>
          <w:sz w:val="28"/>
          <w:szCs w:val="28"/>
          <w:lang w:eastAsia="ru-RU"/>
        </w:rPr>
        <w:t>подраздел 0501 «Жилищное хозяйство»</w:t>
      </w:r>
      <w:r w:rsidR="008102F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0362C">
        <w:rPr>
          <w:rFonts w:ascii="Times New Roman" w:hAnsi="Times New Roman"/>
          <w:sz w:val="28"/>
          <w:szCs w:val="28"/>
          <w:lang w:eastAsia="ru-RU"/>
        </w:rPr>
        <w:t>связано с со сложившейся фактической потребностью</w:t>
      </w:r>
      <w:r w:rsidR="008102FA">
        <w:rPr>
          <w:rFonts w:ascii="Times New Roman" w:hAnsi="Times New Roman"/>
          <w:sz w:val="28"/>
          <w:szCs w:val="28"/>
          <w:lang w:eastAsia="ru-RU"/>
        </w:rPr>
        <w:t>.</w:t>
      </w:r>
    </w:p>
    <w:p w:rsidR="00AA37F2" w:rsidRDefault="00AA37F2" w:rsidP="00ED3F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7F2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ED3F1F">
        <w:rPr>
          <w:rFonts w:ascii="Times New Roman" w:hAnsi="Times New Roman"/>
          <w:i/>
          <w:sz w:val="28"/>
          <w:szCs w:val="28"/>
          <w:lang w:eastAsia="ru-RU"/>
        </w:rPr>
        <w:t>подраздела 0502 «Коммунальное хо</w:t>
      </w:r>
      <w:r w:rsidR="008102FA" w:rsidRPr="00ED3F1F">
        <w:rPr>
          <w:rFonts w:ascii="Times New Roman" w:hAnsi="Times New Roman"/>
          <w:i/>
          <w:sz w:val="28"/>
          <w:szCs w:val="28"/>
          <w:lang w:eastAsia="ru-RU"/>
        </w:rPr>
        <w:t>зяйство»</w:t>
      </w:r>
      <w:r w:rsidR="0090362C">
        <w:rPr>
          <w:rFonts w:ascii="Times New Roman" w:hAnsi="Times New Roman"/>
          <w:sz w:val="28"/>
          <w:szCs w:val="28"/>
          <w:lang w:eastAsia="ru-RU"/>
        </w:rPr>
        <w:t xml:space="preserve"> сокращаются на 2590,5</w:t>
      </w:r>
      <w:r w:rsidR="008102F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102FA">
        <w:rPr>
          <w:rFonts w:ascii="Times New Roman" w:hAnsi="Times New Roman"/>
          <w:sz w:val="28"/>
          <w:szCs w:val="28"/>
          <w:lang w:eastAsia="ru-RU"/>
        </w:rPr>
        <w:t>тыс</w:t>
      </w:r>
      <w:r w:rsidR="0090362C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90362C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90362C">
        <w:rPr>
          <w:rFonts w:ascii="Times New Roman" w:hAnsi="Times New Roman"/>
          <w:sz w:val="28"/>
          <w:szCs w:val="28"/>
          <w:lang w:eastAsia="ru-RU"/>
        </w:rPr>
        <w:t>-10,5</w:t>
      </w:r>
      <w:r w:rsidR="00ED3F1F">
        <w:rPr>
          <w:rFonts w:ascii="Times New Roman" w:hAnsi="Times New Roman"/>
          <w:sz w:val="28"/>
          <w:szCs w:val="28"/>
          <w:lang w:eastAsia="ru-RU"/>
        </w:rPr>
        <w:t xml:space="preserve"> %), в том числе</w:t>
      </w:r>
      <w:r w:rsidRPr="00AA37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62C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Pr="00AA37F2">
        <w:rPr>
          <w:rFonts w:ascii="Times New Roman" w:hAnsi="Times New Roman"/>
          <w:sz w:val="28"/>
          <w:szCs w:val="28"/>
          <w:lang w:eastAsia="ru-RU"/>
        </w:rPr>
        <w:t xml:space="preserve">на прочие мероприятия по коммунальному </w:t>
      </w:r>
      <w:r w:rsidR="0090362C">
        <w:rPr>
          <w:rFonts w:ascii="Times New Roman" w:hAnsi="Times New Roman"/>
          <w:sz w:val="28"/>
          <w:szCs w:val="28"/>
          <w:lang w:eastAsia="ru-RU"/>
        </w:rPr>
        <w:t xml:space="preserve">хозяйству 506,9 </w:t>
      </w:r>
      <w:proofErr w:type="spellStart"/>
      <w:r w:rsidR="009036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362C">
        <w:rPr>
          <w:rFonts w:ascii="Times New Roman" w:hAnsi="Times New Roman"/>
          <w:sz w:val="28"/>
          <w:szCs w:val="28"/>
          <w:lang w:eastAsia="ru-RU"/>
        </w:rPr>
        <w:t xml:space="preserve">, сокращение в связи с экономией по конкурсным процедурам 652,4 </w:t>
      </w:r>
      <w:proofErr w:type="spellStart"/>
      <w:r w:rsidR="009036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362C">
        <w:rPr>
          <w:rFonts w:ascii="Times New Roman" w:hAnsi="Times New Roman"/>
          <w:sz w:val="28"/>
          <w:szCs w:val="28"/>
          <w:lang w:eastAsia="ru-RU"/>
        </w:rPr>
        <w:t xml:space="preserve"> проекта «Народный бюджет», Увеличение на 484,7 </w:t>
      </w:r>
      <w:proofErr w:type="spellStart"/>
      <w:r w:rsidR="009036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362C">
        <w:rPr>
          <w:rFonts w:ascii="Times New Roman" w:hAnsi="Times New Roman"/>
          <w:sz w:val="28"/>
          <w:szCs w:val="28"/>
          <w:lang w:eastAsia="ru-RU"/>
        </w:rPr>
        <w:t xml:space="preserve"> предусмотрено  на организацию уличного освещения за счет средств областного бюджета.  Сокращение ассигнований предусмотрено на мероприятия по строительству, реконструкции и капитальному ремонту централизованных систем водоотведения 2929,7 </w:t>
      </w:r>
      <w:proofErr w:type="spellStart"/>
      <w:r w:rsidR="009036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362C">
        <w:rPr>
          <w:rFonts w:ascii="Times New Roman" w:hAnsi="Times New Roman"/>
          <w:sz w:val="28"/>
          <w:szCs w:val="28"/>
          <w:lang w:eastAsia="ru-RU"/>
        </w:rPr>
        <w:t xml:space="preserve"> (областной бюджет -2841,8 </w:t>
      </w:r>
      <w:proofErr w:type="spellStart"/>
      <w:r w:rsidR="009036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362C">
        <w:rPr>
          <w:rFonts w:ascii="Times New Roman" w:hAnsi="Times New Roman"/>
          <w:sz w:val="28"/>
          <w:szCs w:val="28"/>
          <w:lang w:eastAsia="ru-RU"/>
        </w:rPr>
        <w:t>).</w:t>
      </w:r>
    </w:p>
    <w:p w:rsidR="0090362C" w:rsidRDefault="0090362C" w:rsidP="00ED3F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FD5" w:rsidRDefault="00ED3F1F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Увеличение плановых ассигнований в </w:t>
      </w:r>
      <w:r w:rsidRPr="00E201E6">
        <w:rPr>
          <w:rFonts w:ascii="Times New Roman" w:hAnsi="Times New Roman"/>
          <w:b/>
          <w:sz w:val="28"/>
          <w:szCs w:val="28"/>
          <w:lang w:eastAsia="ru-RU"/>
        </w:rPr>
        <w:t>разделе 08 «Культура»</w:t>
      </w:r>
      <w:r w:rsidR="0090362C">
        <w:rPr>
          <w:rFonts w:ascii="Times New Roman" w:hAnsi="Times New Roman"/>
          <w:sz w:val="28"/>
          <w:szCs w:val="28"/>
          <w:lang w:eastAsia="ru-RU"/>
        </w:rPr>
        <w:t xml:space="preserve"> составит 295,9 </w:t>
      </w:r>
      <w:proofErr w:type="spellStart"/>
      <w:r w:rsidR="0090362C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0362C">
        <w:rPr>
          <w:rFonts w:ascii="Times New Roman" w:hAnsi="Times New Roman"/>
          <w:sz w:val="28"/>
          <w:szCs w:val="28"/>
          <w:lang w:eastAsia="ru-RU"/>
        </w:rPr>
        <w:t xml:space="preserve"> (+3,9</w:t>
      </w:r>
      <w:r>
        <w:rPr>
          <w:rFonts w:ascii="Times New Roman" w:hAnsi="Times New Roman"/>
          <w:sz w:val="28"/>
          <w:szCs w:val="28"/>
          <w:lang w:eastAsia="ru-RU"/>
        </w:rPr>
        <w:t xml:space="preserve"> %), в том числе </w:t>
      </w:r>
      <w:r w:rsidR="0090362C">
        <w:rPr>
          <w:rFonts w:ascii="Times New Roman" w:hAnsi="Times New Roman"/>
          <w:sz w:val="28"/>
          <w:szCs w:val="28"/>
          <w:lang w:eastAsia="ru-RU"/>
        </w:rPr>
        <w:t xml:space="preserve">на выплату </w:t>
      </w:r>
      <w:r>
        <w:rPr>
          <w:rFonts w:ascii="Times New Roman" w:hAnsi="Times New Roman"/>
          <w:sz w:val="28"/>
          <w:szCs w:val="28"/>
          <w:lang w:eastAsia="ru-RU"/>
        </w:rPr>
        <w:t>заработной платы работников учреждения культуры</w:t>
      </w:r>
      <w:r w:rsidR="0090362C">
        <w:rPr>
          <w:rFonts w:ascii="Times New Roman" w:hAnsi="Times New Roman"/>
          <w:sz w:val="28"/>
          <w:szCs w:val="28"/>
          <w:lang w:eastAsia="ru-RU"/>
        </w:rPr>
        <w:t xml:space="preserve"> (исполнение майских Указов).</w:t>
      </w:r>
    </w:p>
    <w:p w:rsidR="00ED3F1F" w:rsidRDefault="00ED3F1F" w:rsidP="00512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1F8" w:rsidRDefault="005121F8" w:rsidP="00E20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решения вносятся изменения в фо</w:t>
      </w:r>
      <w:r w:rsidR="00E201E6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мирование и расходование дорожного фонда муниципального образования</w:t>
      </w:r>
      <w:r w:rsidR="00E201E6">
        <w:rPr>
          <w:rFonts w:ascii="Times New Roman" w:hAnsi="Times New Roman"/>
          <w:sz w:val="28"/>
          <w:szCs w:val="28"/>
          <w:lang w:eastAsia="ru-RU"/>
        </w:rPr>
        <w:t xml:space="preserve"> в 2021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688">
        <w:rPr>
          <w:rFonts w:ascii="Times New Roman" w:hAnsi="Times New Roman"/>
          <w:sz w:val="28"/>
          <w:szCs w:val="28"/>
          <w:lang w:eastAsia="ru-RU"/>
        </w:rPr>
        <w:t xml:space="preserve">- +700,0 </w:t>
      </w:r>
      <w:proofErr w:type="spellStart"/>
      <w:r w:rsidR="0033068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0688">
        <w:rPr>
          <w:rFonts w:ascii="Times New Roman" w:hAnsi="Times New Roman"/>
          <w:sz w:val="28"/>
          <w:szCs w:val="28"/>
          <w:lang w:eastAsia="ru-RU"/>
        </w:rPr>
        <w:t xml:space="preserve"> (+2,5 %) </w:t>
      </w:r>
      <w:r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="00E201E6">
        <w:rPr>
          <w:rFonts w:ascii="Times New Roman" w:hAnsi="Times New Roman"/>
          <w:sz w:val="28"/>
          <w:szCs w:val="28"/>
          <w:lang w:eastAsia="ru-RU"/>
        </w:rPr>
        <w:t>4 к З</w:t>
      </w:r>
      <w:r>
        <w:rPr>
          <w:rFonts w:ascii="Times New Roman" w:hAnsi="Times New Roman"/>
          <w:sz w:val="28"/>
          <w:szCs w:val="28"/>
          <w:lang w:eastAsia="ru-RU"/>
        </w:rPr>
        <w:t>аключению).</w:t>
      </w:r>
    </w:p>
    <w:p w:rsidR="005121F8" w:rsidRDefault="005121F8" w:rsidP="00512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56E6" w:rsidRDefault="0046100F" w:rsidP="00E8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221203">
        <w:rPr>
          <w:rFonts w:ascii="Times New Roman" w:hAnsi="Times New Roman"/>
          <w:sz w:val="28"/>
          <w:szCs w:val="28"/>
          <w:lang w:eastAsia="ru-RU"/>
        </w:rPr>
        <w:t xml:space="preserve">зменения в объем финансирования муниципальной программы «Комплексное развитие систем коммунальной инфраструктуры в сфере водоснабжения муниципального образования «Город Вытегра»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Вологодской области на 2021-2023 </w:t>
      </w:r>
      <w:proofErr w:type="spellStart"/>
      <w:r w:rsidR="00221203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="00221203">
        <w:rPr>
          <w:rFonts w:ascii="Times New Roman" w:hAnsi="Times New Roman"/>
          <w:sz w:val="28"/>
          <w:szCs w:val="28"/>
          <w:lang w:eastAsia="ru-RU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, в связи с изменен</w:t>
      </w:r>
      <w:r w:rsidR="00330688">
        <w:rPr>
          <w:rFonts w:ascii="Times New Roman" w:hAnsi="Times New Roman"/>
          <w:sz w:val="28"/>
          <w:szCs w:val="28"/>
          <w:lang w:eastAsia="ru-RU"/>
        </w:rPr>
        <w:t xml:space="preserve">иями в расходной части бюджета. Сокращение ассигнований составит 2929,7 </w:t>
      </w:r>
      <w:proofErr w:type="spellStart"/>
      <w:r w:rsidR="0033068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0688">
        <w:rPr>
          <w:rFonts w:ascii="Times New Roman" w:hAnsi="Times New Roman"/>
          <w:sz w:val="28"/>
          <w:szCs w:val="28"/>
          <w:lang w:eastAsia="ru-RU"/>
        </w:rPr>
        <w:t xml:space="preserve"> (-16,2 %). Общий объем средств на реализацию мероприятий муниципальной программы составит в 2021 году 15180,0 </w:t>
      </w:r>
      <w:proofErr w:type="spellStart"/>
      <w:r w:rsidR="0033068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30688">
        <w:rPr>
          <w:rFonts w:ascii="Times New Roman" w:hAnsi="Times New Roman"/>
          <w:sz w:val="28"/>
          <w:szCs w:val="28"/>
          <w:lang w:eastAsia="ru-RU"/>
        </w:rPr>
        <w:t>. Доля программного финансирования составит 8,9 % в общих расходах бюджета муниципального образования.</w:t>
      </w:r>
      <w:bookmarkStart w:id="0" w:name="_GoBack"/>
      <w:bookmarkEnd w:id="0"/>
    </w:p>
    <w:p w:rsidR="00E556E6" w:rsidRDefault="00E556E6" w:rsidP="00217A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2D3" w:rsidRPr="00B022D5" w:rsidRDefault="00EA7ADA" w:rsidP="00EB08CA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2D5">
        <w:rPr>
          <w:rFonts w:ascii="Times New Roman" w:hAnsi="Times New Roman"/>
          <w:sz w:val="28"/>
          <w:szCs w:val="28"/>
          <w:lang w:eastAsia="ru-RU"/>
        </w:rPr>
        <w:t xml:space="preserve">Проектом решения вносятся соответствующие изменения в приложения к </w:t>
      </w:r>
      <w:proofErr w:type="gramStart"/>
      <w:r w:rsidRPr="00B022D5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="002B7677" w:rsidRPr="00B022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2D5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B022D5">
        <w:rPr>
          <w:rFonts w:ascii="Times New Roman" w:hAnsi="Times New Roman"/>
          <w:sz w:val="28"/>
          <w:szCs w:val="28"/>
          <w:lang w:eastAsia="ru-RU"/>
        </w:rPr>
        <w:t xml:space="preserve"> Совета МО </w:t>
      </w:r>
      <w:r w:rsidR="00A90060" w:rsidRPr="00B022D5">
        <w:rPr>
          <w:rFonts w:ascii="Times New Roman" w:hAnsi="Times New Roman"/>
          <w:sz w:val="28"/>
          <w:szCs w:val="28"/>
          <w:lang w:eastAsia="ru-RU"/>
        </w:rPr>
        <w:t>«Город В</w:t>
      </w:r>
      <w:r w:rsidR="00B96437">
        <w:rPr>
          <w:rFonts w:ascii="Times New Roman" w:hAnsi="Times New Roman"/>
          <w:sz w:val="28"/>
          <w:szCs w:val="28"/>
          <w:lang w:eastAsia="ru-RU"/>
        </w:rPr>
        <w:t>ытегра» от 10.12.2020 г. № 191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B96437">
        <w:rPr>
          <w:rFonts w:ascii="Times New Roman" w:hAnsi="Times New Roman"/>
          <w:sz w:val="28"/>
          <w:szCs w:val="28"/>
          <w:lang w:eastAsia="ru-RU"/>
        </w:rPr>
        <w:t>азования «Город Вытегра» на 2021 год и плановый период 2022 и 2023</w:t>
      </w:r>
      <w:r w:rsidRPr="00B022D5">
        <w:rPr>
          <w:rFonts w:ascii="Times New Roman" w:hAnsi="Times New Roman"/>
          <w:sz w:val="28"/>
          <w:szCs w:val="28"/>
          <w:lang w:eastAsia="ru-RU"/>
        </w:rPr>
        <w:t xml:space="preserve"> годов». </w:t>
      </w:r>
    </w:p>
    <w:p w:rsidR="00E81FD5" w:rsidRPr="00B022D5" w:rsidRDefault="00E81FD5" w:rsidP="00EB08C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554D" w:rsidRPr="00B022D5" w:rsidRDefault="00DA6F20" w:rsidP="00EB0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lastRenderedPageBreak/>
        <w:t>Выводы и предложения.</w:t>
      </w:r>
    </w:p>
    <w:p w:rsidR="00A06364" w:rsidRPr="00793686" w:rsidRDefault="00A06364" w:rsidP="00EB0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43F" w:rsidRPr="00B022D5" w:rsidRDefault="00DA6F20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 Представленный проект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>соответствует 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B022D5" w:rsidRDefault="00673127" w:rsidP="00EB0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1504">
        <w:rPr>
          <w:rFonts w:ascii="Times New Roman" w:hAnsi="Times New Roman"/>
          <w:sz w:val="28"/>
          <w:szCs w:val="28"/>
        </w:rPr>
        <w:t>ия «Город Вытегра» от 10.12.2020 № 191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рекомендуется</w:t>
      </w:r>
      <w:r w:rsidR="00DA6F20" w:rsidRPr="00B022D5">
        <w:rPr>
          <w:rFonts w:ascii="Times New Roman" w:hAnsi="Times New Roman"/>
          <w:sz w:val="28"/>
          <w:szCs w:val="28"/>
        </w:rPr>
        <w:t xml:space="preserve"> </w:t>
      </w:r>
      <w:r w:rsidR="00EC246B" w:rsidRPr="00B022D5">
        <w:rPr>
          <w:rFonts w:ascii="Times New Roman" w:hAnsi="Times New Roman"/>
          <w:sz w:val="28"/>
          <w:szCs w:val="28"/>
        </w:rPr>
        <w:t>к рассмотрению</w:t>
      </w:r>
      <w:r w:rsidR="00B022D5" w:rsidRPr="00B022D5">
        <w:rPr>
          <w:rFonts w:ascii="Times New Roman" w:hAnsi="Times New Roman"/>
          <w:sz w:val="28"/>
          <w:szCs w:val="28"/>
        </w:rPr>
        <w:t>.</w:t>
      </w:r>
    </w:p>
    <w:p w:rsidR="00217A30" w:rsidRDefault="00217A30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B02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22D5" w:rsidRDefault="00861CA2" w:rsidP="00B02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B022D5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0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5E5C"/>
    <w:rsid w:val="00043A96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D03F0"/>
    <w:rsid w:val="000D1DF4"/>
    <w:rsid w:val="000D211D"/>
    <w:rsid w:val="000F6502"/>
    <w:rsid w:val="001008DC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530A"/>
    <w:rsid w:val="001630F4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388F"/>
    <w:rsid w:val="00373A04"/>
    <w:rsid w:val="00377EE9"/>
    <w:rsid w:val="00380B16"/>
    <w:rsid w:val="00380D91"/>
    <w:rsid w:val="00395D73"/>
    <w:rsid w:val="003962D1"/>
    <w:rsid w:val="00397680"/>
    <w:rsid w:val="003A39DA"/>
    <w:rsid w:val="003A435B"/>
    <w:rsid w:val="003A764C"/>
    <w:rsid w:val="003B00C8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56FE"/>
    <w:rsid w:val="004A0328"/>
    <w:rsid w:val="004A03A3"/>
    <w:rsid w:val="004B05F6"/>
    <w:rsid w:val="004B3AF8"/>
    <w:rsid w:val="004C1627"/>
    <w:rsid w:val="004C31A2"/>
    <w:rsid w:val="004D797C"/>
    <w:rsid w:val="004E1267"/>
    <w:rsid w:val="004E2594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40115"/>
    <w:rsid w:val="00541850"/>
    <w:rsid w:val="00541CD6"/>
    <w:rsid w:val="005458CA"/>
    <w:rsid w:val="00570E9E"/>
    <w:rsid w:val="0057407B"/>
    <w:rsid w:val="00591811"/>
    <w:rsid w:val="00594017"/>
    <w:rsid w:val="005967D4"/>
    <w:rsid w:val="005A02A7"/>
    <w:rsid w:val="005A1DB2"/>
    <w:rsid w:val="005B01CE"/>
    <w:rsid w:val="005B06B4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4953"/>
    <w:rsid w:val="006C6793"/>
    <w:rsid w:val="006C784A"/>
    <w:rsid w:val="006E2653"/>
    <w:rsid w:val="006F0826"/>
    <w:rsid w:val="006F4069"/>
    <w:rsid w:val="00707FF0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915CA"/>
    <w:rsid w:val="00793686"/>
    <w:rsid w:val="0079518B"/>
    <w:rsid w:val="00797D2D"/>
    <w:rsid w:val="007A03FD"/>
    <w:rsid w:val="007B27B0"/>
    <w:rsid w:val="007B5E5C"/>
    <w:rsid w:val="007C1FD0"/>
    <w:rsid w:val="007F397C"/>
    <w:rsid w:val="00805589"/>
    <w:rsid w:val="0080718F"/>
    <w:rsid w:val="0080722D"/>
    <w:rsid w:val="008102FA"/>
    <w:rsid w:val="00813312"/>
    <w:rsid w:val="00813A41"/>
    <w:rsid w:val="00816418"/>
    <w:rsid w:val="0082077C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D4B"/>
    <w:rsid w:val="008E7776"/>
    <w:rsid w:val="008F1159"/>
    <w:rsid w:val="008F1278"/>
    <w:rsid w:val="008F4373"/>
    <w:rsid w:val="00900598"/>
    <w:rsid w:val="0090362C"/>
    <w:rsid w:val="009062FD"/>
    <w:rsid w:val="00915411"/>
    <w:rsid w:val="00926181"/>
    <w:rsid w:val="0092633B"/>
    <w:rsid w:val="00926575"/>
    <w:rsid w:val="00926D6C"/>
    <w:rsid w:val="00926F40"/>
    <w:rsid w:val="00931F98"/>
    <w:rsid w:val="009356F0"/>
    <w:rsid w:val="00944A61"/>
    <w:rsid w:val="00950C00"/>
    <w:rsid w:val="009567C9"/>
    <w:rsid w:val="009652F5"/>
    <w:rsid w:val="00973671"/>
    <w:rsid w:val="00977769"/>
    <w:rsid w:val="00981C6F"/>
    <w:rsid w:val="00983681"/>
    <w:rsid w:val="009C4839"/>
    <w:rsid w:val="009C4B5E"/>
    <w:rsid w:val="009C4F11"/>
    <w:rsid w:val="009C6EBE"/>
    <w:rsid w:val="009D0C06"/>
    <w:rsid w:val="009D25CA"/>
    <w:rsid w:val="009E1504"/>
    <w:rsid w:val="009E2B37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6381A"/>
    <w:rsid w:val="00A6441D"/>
    <w:rsid w:val="00A6444D"/>
    <w:rsid w:val="00A64D39"/>
    <w:rsid w:val="00A67A23"/>
    <w:rsid w:val="00A8612A"/>
    <w:rsid w:val="00A8688B"/>
    <w:rsid w:val="00A90060"/>
    <w:rsid w:val="00AA0374"/>
    <w:rsid w:val="00AA37F2"/>
    <w:rsid w:val="00AA4525"/>
    <w:rsid w:val="00AA477B"/>
    <w:rsid w:val="00AA7152"/>
    <w:rsid w:val="00AC3373"/>
    <w:rsid w:val="00AC6E20"/>
    <w:rsid w:val="00AC7DEC"/>
    <w:rsid w:val="00AD0C49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357B"/>
    <w:rsid w:val="00CC54C1"/>
    <w:rsid w:val="00CC7A05"/>
    <w:rsid w:val="00CE72B4"/>
    <w:rsid w:val="00CF348A"/>
    <w:rsid w:val="00CF77E9"/>
    <w:rsid w:val="00D01163"/>
    <w:rsid w:val="00D10682"/>
    <w:rsid w:val="00D15096"/>
    <w:rsid w:val="00D20D6C"/>
    <w:rsid w:val="00D335DF"/>
    <w:rsid w:val="00D3462A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6F20"/>
    <w:rsid w:val="00DC3404"/>
    <w:rsid w:val="00DC5473"/>
    <w:rsid w:val="00DD5357"/>
    <w:rsid w:val="00DE2AE3"/>
    <w:rsid w:val="00DE4715"/>
    <w:rsid w:val="00DE478F"/>
    <w:rsid w:val="00E01BE7"/>
    <w:rsid w:val="00E10C42"/>
    <w:rsid w:val="00E12EE1"/>
    <w:rsid w:val="00E201E6"/>
    <w:rsid w:val="00E20BAD"/>
    <w:rsid w:val="00E21789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D2D"/>
    <w:rsid w:val="00E908A3"/>
    <w:rsid w:val="00E928EA"/>
    <w:rsid w:val="00E92A3A"/>
    <w:rsid w:val="00E9350F"/>
    <w:rsid w:val="00E95441"/>
    <w:rsid w:val="00E95480"/>
    <w:rsid w:val="00E9680F"/>
    <w:rsid w:val="00EA3068"/>
    <w:rsid w:val="00EA5B9D"/>
    <w:rsid w:val="00EA7ADA"/>
    <w:rsid w:val="00EB08CA"/>
    <w:rsid w:val="00EB3CD8"/>
    <w:rsid w:val="00EB62AA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633A"/>
    <w:rsid w:val="00F527A5"/>
    <w:rsid w:val="00F53380"/>
    <w:rsid w:val="00F5502C"/>
    <w:rsid w:val="00F5582F"/>
    <w:rsid w:val="00F55F4B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A4273"/>
    <w:rsid w:val="00FA61C4"/>
    <w:rsid w:val="00FB7844"/>
    <w:rsid w:val="00FC4C3A"/>
    <w:rsid w:val="00FC56EF"/>
    <w:rsid w:val="00FD17E1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5E87-371C-4D75-810B-4065D563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2020-10-16T08:07:00Z</cp:lastPrinted>
  <dcterms:created xsi:type="dcterms:W3CDTF">2021-12-23T07:36:00Z</dcterms:created>
  <dcterms:modified xsi:type="dcterms:W3CDTF">2021-12-23T07:36:00Z</dcterms:modified>
</cp:coreProperties>
</file>