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__.____ </w:t>
      </w:r>
      <w:r>
        <w:rPr>
          <w:sz w:val="28"/>
          <w:szCs w:val="28"/>
        </w:rPr>
        <w:t xml:space="preserve"> 2024                 №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.В</w:t>
      </w:r>
      <w:r>
        <w:rPr>
          <w:sz w:val="20"/>
          <w:szCs w:val="20"/>
        </w:rPr>
        <w:t xml:space="preserve">ытегра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r/>
      <w:r/>
    </w:p>
    <w:p>
      <w:r/>
      <w:r/>
    </w:p>
    <w:p>
      <w:r/>
      <w:r/>
    </w:p>
    <w:p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 водопользования на </w:t>
      </w:r>
      <w:r>
        <w:rPr>
          <w:sz w:val="28"/>
          <w:szCs w:val="28"/>
        </w:rPr>
        <w:t xml:space="preserve">водных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объектах</w:t>
      </w:r>
      <w:r>
        <w:rPr>
          <w:sz w:val="28"/>
          <w:szCs w:val="28"/>
        </w:rPr>
        <w:t xml:space="preserve"> в купальный сезон 2024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пунктом 24 части 1 статьи 15 Федерального закона </w:t>
      </w:r>
      <w:r>
        <w:rPr>
          <w:sz w:val="28"/>
          <w:szCs w:val="28"/>
        </w:rPr>
        <w:t xml:space="preserve">от 06 октября 2003 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на основании статьи 6 и части 3 статьи 41 Водного кодекса Российской Федерации, пункта 1.8 </w:t>
      </w:r>
      <w:r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охраны жизни людей на водных объектах в Вологодской области, утвержденных постановлением Правительства Вологодской области от 20 декабря 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1782, пунктов 1.7 и 2.2 Правил </w:t>
      </w:r>
      <w:r>
        <w:rPr>
          <w:sz w:val="28"/>
          <w:szCs w:val="28"/>
        </w:rPr>
        <w:t xml:space="preserve"> использования водных объектов общего пользования, расположенных на территории Вытегорского муниципального района, для личных и бытовых нужд, утвержденных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-342899</wp:posOffset>
                </wp:positionV>
                <wp:extent cx="3505835" cy="266700"/>
                <wp:effectExtent l="0" t="0" r="0" b="0"/>
                <wp:wrapSquare wrapText="bothSides"/>
                <wp:docPr id="1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05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  <w:r>
                              <w:rPr>
                                <w:szCs w:val="28"/>
                              </w:rPr>
                            </w: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61312;o:allowoverlap:true;o:allowincell:true;mso-position-horizontal-relative:text;margin-left:207.00pt;mso-position-horizontal:absolute;mso-position-vertical-relative:text;margin-top:-27.00pt;mso-position-vertical:absolute;width:276.05pt;height:21.00pt;mso-wrap-distance-left:9.00pt;mso-wrap-distance-top:0.00pt;mso-wrap-distance-right:9.00pt;mso-wrap-distance-bottom:0.00pt;visibility:visible;" fillcolor="#FFFFFF" stroked="f">
                <w10:wrap type="square"/>
                <v:textbox inset="0,0,0,0">
                  <w:txbxContent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  <w:r>
                        <w:rPr>
                          <w:szCs w:val="28"/>
                        </w:rPr>
                      </w:r>
                      <w:r>
                        <w:rPr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-228599</wp:posOffset>
                </wp:positionV>
                <wp:extent cx="252095" cy="1690370"/>
                <wp:effectExtent l="0" t="0" r="0" b="0"/>
                <wp:wrapSquare wrapText="bothSides"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209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-54.00pt;mso-position-horizontal:absolute;mso-position-vertical-relative:text;margin-top:-18.00pt;mso-position-vertical:absolute;width:19.85pt;height:133.10pt;mso-wrap-distance-left:9.00pt;mso-wrap-distance-top:0.00pt;mso-wrap-distance-right:9.00pt;mso-wrap-distance-bottom:0.00pt;visibility:visible;" fillcolor="#FFFFFF" stroked="f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решением Представительного Собрания Вытегорского муниципального района от 27 мая 2011 года № 493, с целью предупреждения чрезвычайных ситуаций и гибели людей в период купального сезона  </w:t>
      </w:r>
      <w:r>
        <w:rPr>
          <w:b/>
          <w:sz w:val="28"/>
          <w:szCs w:val="28"/>
        </w:rPr>
        <w:t xml:space="preserve">ПОСТАНОВЛЯЮ: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купание граждан с 10 июня 2024 года на период купального сезона на территории Вытегорского муниципального района, за исключением городского пляжа 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Вытегра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Отделу по мобилизационной работе, гражданской обороне и чрезвычайным ситуациям Администрации района (С.А. </w:t>
      </w:r>
      <w:r>
        <w:rPr>
          <w:sz w:val="28"/>
          <w:szCs w:val="28"/>
        </w:rPr>
        <w:t xml:space="preserve">Ломков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уществлять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запретом водопользования </w:t>
      </w:r>
      <w:r>
        <w:rPr>
          <w:sz w:val="28"/>
          <w:szCs w:val="28"/>
        </w:rPr>
        <w:t xml:space="preserve">в запрещенных для купания местах гражданами в период купального сезона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426" w:leader="none"/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Администрации района                                        А.В. </w:t>
      </w:r>
      <w:r>
        <w:rPr>
          <w:sz w:val="28"/>
          <w:szCs w:val="28"/>
        </w:rPr>
        <w:t xml:space="preserve">Скресанов</w:t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37" w:customStyle="1">
    <w:name w:val="ConsPlusNonformat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2024-05-22T04:57:00Z</dcterms:created>
  <dcterms:modified xsi:type="dcterms:W3CDTF">2024-05-23T06:32:24Z</dcterms:modified>
</cp:coreProperties>
</file>