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napToGrid w:val="false"/>
        <w:spacing w:before="0" w:after="0"/>
        <w:ind w:left="504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lang w:eastAsia="ru-RU"/>
        </w:rPr>
        <w:t>Утверждены</w:t>
      </w:r>
    </w:p>
    <w:p>
      <w:pPr>
        <w:pStyle w:val="Normal"/>
        <w:widowControl w:val="false"/>
        <w:spacing w:lineRule="auto" w:line="240" w:before="0" w:after="0"/>
        <w:ind w:left="5040"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приказом Федерального агентства</w:t>
      </w:r>
    </w:p>
    <w:p>
      <w:pPr>
        <w:pStyle w:val="Normal"/>
        <w:widowControl w:val="false"/>
        <w:spacing w:lineRule="auto" w:line="240" w:before="0" w:after="0"/>
        <w:ind w:left="5040"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по делам национальностей</w:t>
      </w:r>
    </w:p>
    <w:p>
      <w:pPr>
        <w:pStyle w:val="Normal"/>
        <w:widowControl w:val="false"/>
        <w:spacing w:lineRule="auto" w:line="240" w:before="0" w:after="0"/>
        <w:ind w:left="5040"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от 17.11.2020 № 142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ConsPlusTitle"/>
        <w:snapToGrid w:val="false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</w:t>
      </w:r>
    </w:p>
    <w:p>
      <w:pPr>
        <w:pStyle w:val="ConsPlusTitle"/>
        <w:snapToGrid w:val="false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органов государственной власти субъектов Российской Федерации</w:t>
      </w:r>
    </w:p>
    <w:p>
      <w:pPr>
        <w:pStyle w:val="ConsPlusTitle"/>
        <w:snapToGrid w:val="false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 социальной и культурной адаптации и интеграции иностранных граждан </w:t>
        <w:br/>
        <w:t xml:space="preserve">в Российской Федерации» </w:t>
      </w:r>
    </w:p>
    <w:p>
      <w:pPr>
        <w:pStyle w:val="ConsPlusTitle"/>
        <w:snapToGrid w:val="false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Общие положения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органов государственной власти субъектов Российской Федерации и органов местного самоуправления по вопросам социальной и культурной адаптации и интеграции иностранных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граждан в Российской Федерации (далее – Методические рекомендации) разработаны во исполнение пункта 36 плана мероприятий по реализации в 2019–2020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</w:t>
        <w:br/>
        <w:t xml:space="preserve">от 28 декабря 2018 г. № 2985-р, на основе изучения российской и международной практики, предложений федеральных органов исполнительной власти, органов государственной власти субъектов Российской Федерации, общественных организаций.  </w:t>
      </w:r>
    </w:p>
    <w:p>
      <w:pPr>
        <w:pStyle w:val="ConsPlusNormal"/>
        <w:numPr>
          <w:ilvl w:val="0"/>
          <w:numId w:val="1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и органам местного самоуправления при осуществлении ими полномочий в сфере социальной и культурной адаптации и интеграции иностранных граждан</w:t>
        <w:br/>
        <w:t>на территории субъектов Российской Федерации.</w:t>
      </w:r>
    </w:p>
    <w:p>
      <w:pPr>
        <w:pStyle w:val="ConsPlusNormal"/>
        <w:numPr>
          <w:ilvl w:val="0"/>
          <w:numId w:val="1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направлены на обеспечение единых подходов </w:t>
        <w:br/>
        <w:t>к социальной и культурной адаптации и интеграции иностранных граждан, противодействию их социальной и территориальной изоляции и устранению способствующих этому условий.</w:t>
      </w:r>
    </w:p>
    <w:p>
      <w:pPr>
        <w:pStyle w:val="ConsPlusNormal"/>
        <w:numPr>
          <w:ilvl w:val="0"/>
          <w:numId w:val="1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Нормативными правовыми основаниями разработки методических рекомендаций являются: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Конституция Российской Федерации;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Трудовой кодекс Российской Федерации; 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Федеральный закон от 12 января 1996 г. № 7-ФЗ «О некоммерческих организациях» (далее – Федеральный закон № 7-ФЗ);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Федеральный закон от 15 августа 1996 г. № 114-ФЗ «О порядке выезда </w:t>
        <w:br/>
        <w:t>из Российской Федерации и въезда в Российскую Федерацию»;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Федеральный закон от 25 июля 2002 г. № 114-ФЗ «О противодействии экстремистской деятельности»;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Федеральный закон от 25 июля 2002 г. № 115-ФЗ «О правовом положении иностранных граждан в Российской Федерации» (далее – Федеральный закон </w:t>
        <w:br/>
        <w:t>№ 115-ФЗ);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Федеральный закон от 6 октября 2003 г. № 131-ФЗ «Об общих </w:t>
        <w:br/>
        <w:t xml:space="preserve">принципах организации местного самоуправления в Российской Федерации» </w:t>
        <w:br/>
        <w:t>(далее – Федеральный закон № 131-ФЗ);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Федеральный закон от 18 июля 2006 г. № 109-ФЗ «О миграционном учете иностранных граждан и лиц без гражданства в Российской Федерации» (далее – Федеральный закон № 109-ФЗ);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Федеральный закон от 5 мая 2014 г. № 116-ФЗ «О внесении изменений </w:t>
        <w:br/>
        <w:t>в отдельные законодательные акты Российской Федерации»;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Указ Президента Российской Федерации от 5 апреля 2016 г. № 156 </w:t>
        <w:br/>
        <w:t>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Стратегия государственной национальной политики Российской Федерации </w:t>
        <w:br/>
        <w:t xml:space="preserve">на период до 2025 г., утвержденная Указом Президента Российской Федерации </w:t>
        <w:br/>
        <w:t>от 19 декабря 2012 г. № 1666 (далее – Стратегия государственной национальной политики Российской Федерации);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Концепция государственной миграционной политики Российской Федерации на 2019–2025 годы, утвержденная Указом Президента России </w:t>
        <w:br/>
        <w:t>от 31 октября 2018 г. № 622 (далее – Концепция государственной миграционной политики Российской Федерации, Концепция);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15 января 2007 г. № 9 «О порядке осуществления миграционного учета иностранных граждан и лиц </w:t>
        <w:br/>
        <w:t>без гражданства в Российской Федерации»;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28 октября 2017 г. </w:t>
        <w:br/>
        <w:t>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иные нормативные правовые акты.</w:t>
      </w:r>
    </w:p>
    <w:p>
      <w:pPr>
        <w:pStyle w:val="ListParagraph"/>
        <w:numPr>
          <w:ilvl w:val="0"/>
          <w:numId w:val="1"/>
        </w:numPr>
        <w:tabs>
          <w:tab w:val="clear" w:pos="706"/>
          <w:tab w:val="left" w:pos="108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соответствии с пунктом 23 Концепции государственной миграционной политики Российской Федерации выделены три основных направления миграционной политики в области создания условий для адаптации иностранных граждан:</w:t>
      </w:r>
    </w:p>
    <w:p>
      <w:pPr>
        <w:pStyle w:val="Normal"/>
        <w:tabs>
          <w:tab w:val="clear" w:pos="706"/>
          <w:tab w:val="left" w:pos="36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>
      <w:pPr>
        <w:pStyle w:val="Normal"/>
        <w:tabs>
          <w:tab w:val="clear" w:pos="706"/>
          <w:tab w:val="left" w:pos="36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принятие мер, препятствующих возникновению пространственной сегрегации, формированию этнических анклавов и маргинализации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>
      <w:pPr>
        <w:pStyle w:val="Normal"/>
        <w:tabs>
          <w:tab w:val="clear" w:pos="706"/>
          <w:tab w:val="left" w:pos="36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обеспечение иностранным гражданам независимо 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Также, в Концепции указано, что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</w:t>
        <w:br/>
        <w:t xml:space="preserve">а также иными факторами является одной из задач миграционной политики. Исходя из этого выделены ее основные направления в области создания условий </w:t>
        <w:br/>
        <w:t>для адаптации иностранных граждан.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Стратегией государственной национальной политики Российской Федерации успешная социальная и культурная адаптация иностранных граждан в Российской Федерации и их интеграция в российское общество определены одной из целей государственной национальной политики Российской Федерации, а формирование системы их социальной и культурной адаптации и их интеграции в российское общество – как одна задач такой политики.</w:t>
      </w:r>
    </w:p>
    <w:p>
      <w:pPr>
        <w:pStyle w:val="Normal"/>
        <w:tabs>
          <w:tab w:val="clear" w:pos="706"/>
          <w:tab w:val="left" w:pos="36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Государственная программа «Реализация государственной национальной политики» содержит подпрограмму 5 «Социально-культурная адаптация </w:t>
        <w:br/>
        <w:t xml:space="preserve">и интеграция иностранных граждан в Российской Федерации». В рамках этой подпрограммы предусмотрена реализация двух основных мероприятий: </w:t>
        <w:br/>
      </w:r>
    </w:p>
    <w:p>
      <w:pPr>
        <w:pStyle w:val="Normal"/>
        <w:tabs>
          <w:tab w:val="clear" w:pos="706"/>
          <w:tab w:val="left" w:pos="36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5.1 «Научно-методическое и информационное сопровождение социальной </w:t>
        <w:br/>
        <w:t>и культурной адаптации и интеграции иностранных граждан» и 5.2 «Реализация мер, направленных на социально-культурную адаптацию и интеграцию иностранных граждан».</w:t>
      </w:r>
    </w:p>
    <w:p>
      <w:pPr>
        <w:pStyle w:val="Normal"/>
        <w:tabs>
          <w:tab w:val="clear" w:pos="706"/>
          <w:tab w:val="left" w:pos="36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</w:rPr>
        <w:t>О</w:t>
      </w:r>
      <w:r>
        <w:rPr>
          <w:rFonts w:ascii="Times New Roman" w:hAnsi="Times New Roman"/>
          <w:color w:val="000000" w:themeColor="text1"/>
          <w:sz w:val="28"/>
        </w:rPr>
        <w:t xml:space="preserve">тдельные вопросы, связанные с социальной и культурной адаптацией </w:t>
        <w:br/>
        <w:t>и интеграцией иностранных граждан, регулируются федеральными законами. Важное значение в указанных процессах играет знание иностранцем русского языка, истории и основ законодательства нашей страны. Требования о необходимости подтверждения таких знаний содержатся в Федеральном законе № 115-ФЗ.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Социальной адаптации иностранных трудовых мигрантов способствуют изменения, внесенные в Налоговый кодекс Российской Федерации, устанавливающие обязанность работодателя отчислять за иностранных работников взнос в Фонд социального страхования Российской Федерации в размере 1,8% от заработной платы.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Данной категории иностранных граждан с 2014 года предоставлено право </w:t>
        <w:br/>
        <w:t>на пособие по причине временной нетрудоспособности в связи с болезнью.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Участие субъектов Российской Федерации в реализации государственной политики в сфере социальной и культурной адаптации и интеграции иностранных граждан определяется Федеральным законом № 184-ФЗ. Он относит осуществление мер по социальной и культурной адаптации иностранных граждан к сфере ведения субъектов Российской Федерации. Их финансирование обеспечивается </w:t>
        <w:br/>
        <w:t xml:space="preserve">из региональных бюджетов (пункт «а.1» части 2 статьи 21, пункт 20.1 части 2 </w:t>
        <w:br/>
        <w:t>статьи 26.3).</w:t>
      </w:r>
    </w:p>
    <w:p>
      <w:pPr>
        <w:pStyle w:val="Normal"/>
        <w:tabs>
          <w:tab w:val="clear" w:pos="706"/>
          <w:tab w:val="left" w:pos="36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Принимаемые органами государственной власти субъектов Российской Федерации меры и проводимые ими мероприятия в целях социальной и культурной адаптации иностранных граждан осуществляются в рамках различных государственных программ и их подпрограмм.</w:t>
      </w:r>
    </w:p>
    <w:p>
      <w:pPr>
        <w:pStyle w:val="Normal"/>
        <w:tabs>
          <w:tab w:val="clear" w:pos="706"/>
          <w:tab w:val="left" w:pos="36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Правовым основанием для их выполнения, в том числе создания организационных основ (комиссии, комитеты, советы, кадровое наполнение и т.д.) являются, в зависимости от законодательства субъекта Российской Федерации, законы субъекта Российской Федерации, акты главы субъекта Российской Федерации, органов государственной власти субъектов Российской Федерации.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соответствии с Федеральным законом № 131-ФЗ, создание условий </w:t>
        <w:br/>
        <w:t xml:space="preserve">для реализации мер, направленных на социальную и культурную адаптацию иностранных граждан, разработка и осуществление таких мер относятся к вопросам местного значения, а финансовые обязательства, возникающие в связи с решением вопросов местного значения, исполняются за счет средств местных бюджетов </w:t>
        <w:br/>
        <w:t>(пункт 7.2 части 1 статьи 14, пункт 6.2 части 1 статьи 15, пункт 7.2 статьи 16, части 1 статьи 18).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Федеральным законом № 7-ФЗ установлено, что органы государственной власти и органы местного самоуправления могут оказывать поддержку социально ориентированным некоммерческим организациям при условии осуществления ими </w:t>
        <w:br/>
        <w:t xml:space="preserve">в соответствии с учредительными документами деятельности по социальной </w:t>
        <w:br/>
        <w:t xml:space="preserve">и культурной адаптации и интеграции иностранных граждан (пункт 15 части 1 </w:t>
        <w:br/>
        <w:t>статьи 31.1).</w:t>
      </w:r>
    </w:p>
    <w:p>
      <w:pPr>
        <w:pStyle w:val="ConsPlusNormal"/>
        <w:numPr>
          <w:ilvl w:val="0"/>
          <w:numId w:val="2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Целями социальной и культурной адаптации и интеграции иностранных граждан на территории Российской Федерации являются:</w:t>
      </w:r>
    </w:p>
    <w:p>
      <w:pPr>
        <w:pStyle w:val="ConsPlusNormal"/>
        <w:numPr>
          <w:ilvl w:val="1"/>
          <w:numId w:val="2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Для федеральных государственных органов исполнительной власти </w:t>
        <w:br/>
        <w:t xml:space="preserve">и органов исполнительной власти субъектов Российской Федерации – упорядочение процессов социальной и культурной адаптации и интеграции иностранных граждан </w:t>
        <w:br/>
        <w:t>в интересах социально-экономического развития страны и ее территорий, обеспечения государственной и общественной безопасности, соблюдения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>
      <w:pPr>
        <w:pStyle w:val="ConsPlusNormal"/>
        <w:numPr>
          <w:ilvl w:val="1"/>
          <w:numId w:val="2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органов местного самоуправления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– обеспечение быстрого</w:t>
        <w:br/>
        <w:t xml:space="preserve">и качественного приспособления иностранных граждан к условиям территорий вселения в интересах социально-экономического развития территорий </w:t>
        <w:br/>
        <w:t>и бесконфликтного пребывания/проживания иностранных граждан среди местного населения.</w:t>
      </w:r>
    </w:p>
    <w:p>
      <w:pPr>
        <w:pStyle w:val="ConsPlusNormal"/>
        <w:numPr>
          <w:ilvl w:val="0"/>
          <w:numId w:val="3"/>
        </w:numPr>
        <w:tabs>
          <w:tab w:val="clear" w:pos="706"/>
          <w:tab w:val="left" w:pos="1080" w:leader="none"/>
        </w:tabs>
        <w:snapToGrid w:val="false"/>
        <w:spacing w:before="0" w:after="0"/>
        <w:ind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Задачами федеральных органов исполнительной власти и органов государственной власти субъектов Российской Федерации в сфере социальной </w:t>
        <w:br/>
        <w:t>и культурной адаптации и интеграции иностранных граждан являются:</w:t>
      </w:r>
    </w:p>
    <w:p>
      <w:pPr>
        <w:pStyle w:val="ConsPlusNormal"/>
        <w:numPr>
          <w:ilvl w:val="1"/>
          <w:numId w:val="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Содействие формированию конструктивного взаимодействия между иностранными гражданами и принимающим сообществом.</w:t>
      </w:r>
    </w:p>
    <w:p>
      <w:pPr>
        <w:pStyle w:val="ConsPlusNormal"/>
        <w:numPr>
          <w:ilvl w:val="1"/>
          <w:numId w:val="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Противодействие социальной и культурной исключенности иностранных граждан, их пространственной сегрегации и формированию этнических анклавов.</w:t>
      </w:r>
    </w:p>
    <w:p>
      <w:pPr>
        <w:pStyle w:val="ConsPlusNormal"/>
        <w:numPr>
          <w:ilvl w:val="1"/>
          <w:numId w:val="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Профилактика правонарушений, совершаемых иностранными гражданами.</w:t>
      </w:r>
    </w:p>
    <w:p>
      <w:pPr>
        <w:pStyle w:val="ConsPlusNormal"/>
        <w:numPr>
          <w:ilvl w:val="1"/>
          <w:numId w:val="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Создание условий для освоения иностранными гражданами русского языка, истории России и основ законодательства Российской Федерации.</w:t>
      </w:r>
    </w:p>
    <w:p>
      <w:pPr>
        <w:pStyle w:val="ConsPlusNormal"/>
        <w:numPr>
          <w:ilvl w:val="1"/>
          <w:numId w:val="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Иные задачи, установленные федеральными законами.</w:t>
      </w:r>
    </w:p>
    <w:p>
      <w:pPr>
        <w:pStyle w:val="ConsPlusNormal"/>
        <w:numPr>
          <w:ilvl w:val="0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полномочиям органов государственной власти субъектов Российской Федерации в сфере реализации государственной национальной политики относятся: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Осуществление мер по обеспечению социальной и культурной адаптации </w:t>
        <w:br/>
        <w:t>и интеграции иностранных граждан с учетом примерного перечня мероприятий, направленных на социальную и культурную адаптацию и интеграцию иностранных граждан в Российской Федерации.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Разработка государственных программ субъектов Российской Федерации либо подпрограмм государственных программ субъектов Российской Федерации</w:t>
        <w:br/>
        <w:t>в сфере социальной и культурной адаптации и интеграции иностранных граждан.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Реализация на территории субъекта Российской Федерации государственной программы либо подпрограммы государственной программы</w:t>
        <w:br/>
        <w:t>в сфере социальной и культурной адаптации и интеграции иностранных граждан.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Взаимодействие с социально ориентированными некоммерческими организациями, деятельность которых направлена на социальную и культурную адаптацию и интеграцию иностранных граждан.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Оказание в соответствии с законодательством Российской Федерации поддержки социально ориентированным некоммерческим организациям, деятельность которых направлена на социальную и культурную адаптацию</w:t>
        <w:br/>
        <w:t>и интеграцию иностранных граждан.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Информационное сопровождение реализации государственной политики</w:t>
        <w:br/>
        <w:t xml:space="preserve">в области социальной и культурной адаптации и интеграции иностранных граждан </w:t>
        <w:br/>
        <w:t>на территории субъекта Российской Федерации.</w:t>
      </w:r>
    </w:p>
    <w:p>
      <w:pPr>
        <w:pStyle w:val="ConsPlusNormal"/>
        <w:numPr>
          <w:ilvl w:val="0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полномочиям органов местного самоуправления в сфере реализации государственной национальной политики относятся: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Разработка и осуществление мер, направленных на обеспечение социальной и культурной адаптации и интеграции иностранных граждан, с учетом примерного перечня мероприятий, направленных на социальную и культурную адаптацию и интеграцию иностранных граждан в Российской Федерации.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местного населения по вопросам социальной</w:t>
        <w:br/>
        <w:t>и культурной адаптации и интеграции иностранных граждан.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с социально ориентированными некоммерческими организациями, деятельность которых направлена на социальную и культурную адаптацию и интеграцию иностранных граждан.</w:t>
      </w:r>
    </w:p>
    <w:p>
      <w:pPr>
        <w:pStyle w:val="ConsPlusNormal"/>
        <w:numPr>
          <w:ilvl w:val="1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Оказание в соответствии с законодательством Российской Федерации поддержки социально ориентированным некоммерческим организациям, деятельность которых направлена на социальную и культурную адаптацию </w:t>
        <w:br/>
        <w:t>и интеграцию иностранных граждан.</w:t>
      </w:r>
    </w:p>
    <w:p>
      <w:pPr>
        <w:pStyle w:val="ConsPlusNormal"/>
        <w:numPr>
          <w:ilvl w:val="0"/>
          <w:numId w:val="4"/>
        </w:numPr>
        <w:tabs>
          <w:tab w:val="clear" w:pos="706"/>
          <w:tab w:val="left" w:pos="1080" w:leader="none"/>
        </w:tabs>
        <w:snapToGrid w:val="false"/>
        <w:spacing w:before="0"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Понятийный аппарат, рекомендуемый к использованию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: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Социальная и культурная адаптация иностранных граждан и их интеграция </w:t>
        <w:br/>
        <w:t>в российское общество – 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Российской Федерации в установленном порядке, формирования устойчивых социальных отношений, культурных связей и сотрудничества с гражданами Российской Федерации.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Государственная политика в сфере социальной и культурной адаптации </w:t>
        <w:br/>
        <w:t>и интеграции иностранных граждан в Российской Федерации – комплекс мер, осуществляемых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направленных на содействие социальной и культурной адаптации иностранных граждан в Российской Федерации и их интеграции в российское общество.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Федеральными органами исполнительной власти и органами исполнительной власти субъектов Российской Федерации в официальных документах часто используется понятие «мигрант». Поскольку в российской практике государственного управления под «мигрантами» принято понимать в первую очередь иностранцев, но само слово «мигрант» из большинства правовых документов</w:t>
      </w:r>
      <w:r>
        <w:rPr>
          <w:rFonts w:ascii="Times New Roman" w:hAnsi="Times New Roman"/>
          <w:sz w:val="28"/>
          <w:szCs w:val="28"/>
        </w:rPr>
        <w:t xml:space="preserve"> изъято, в официальных отчетных и иных документах следует применять следующие термины: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находящихся на территории Российской Федерации лиц, не имеющих </w:t>
        <w:br/>
        <w:t>ее гражданства, но обладающих иным гражданством, в отчетных документах рекомендуется называть иностранными гражданами, как это установлено законодательством (Федеральный закон № 115-ФЗ);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указанных лиц прибывшие в Российскую Федерацию в целях осуществления трудовой деятельности в статистических и отчетных документах могут быть названы «иностранные трудовые мигранты», что соответствует целям государственного статистического учета (Федеральный закон № 109-ФЗ) и принятой статистической терминологии ООН.</w:t>
      </w:r>
    </w:p>
    <w:p>
      <w:pPr>
        <w:pStyle w:val="ConsPlusNormal"/>
        <w:snapToGrid w:val="false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II. Методические рекомендации </w:t>
      </w:r>
      <w:r>
        <w:rPr>
          <w:rFonts w:cs="Times New Roman" w:ascii="Times New Roman" w:hAnsi="Times New Roman"/>
          <w:sz w:val="28"/>
          <w:szCs w:val="28"/>
        </w:rPr>
        <w:t xml:space="preserve">органам государственной </w:t>
      </w:r>
    </w:p>
    <w:p>
      <w:pPr>
        <w:pStyle w:val="ConsPlusTitle"/>
        <w:snapToGrid w:val="false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власти субъектов Российской Федерации, органам местного</w:t>
      </w:r>
    </w:p>
    <w:p>
      <w:pPr>
        <w:pStyle w:val="ConsPlusTitle"/>
        <w:snapToGrid w:val="false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самоуправления в сфере социальной и культурной адаптации и интеграции иностранных граждан на территории Российской Федерации</w:t>
      </w:r>
    </w:p>
    <w:p>
      <w:pPr>
        <w:pStyle w:val="ConsPlusTitle"/>
        <w:snapToGrid w:val="false"/>
        <w:spacing w:before="0" w:after="0"/>
        <w:contextualSpacing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5"/>
        </w:numPr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 w:themeColor="text1"/>
          <w:sz w:val="28"/>
          <w:szCs w:val="28"/>
        </w:rPr>
        <w:t>Для совершенствования реализации мероприятий по социальной</w:t>
        <w:br/>
        <w:t>и культурной адаптации и интеграции иностранных граждан рекомендуется:</w:t>
      </w:r>
    </w:p>
    <w:p>
      <w:pPr>
        <w:pStyle w:val="ConsPlusTitle"/>
        <w:numPr>
          <w:ilvl w:val="1"/>
          <w:numId w:val="5"/>
        </w:numPr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Субъектам Российской Федерации создать в органах государственной власти субъектов Российской Федерации или подведомственных государственных организациях специализированные подразделения, в компетенцию которых войдет работа по социальной и культурной адаптации и интеграции иностранных граждан.</w:t>
      </w:r>
    </w:p>
    <w:p>
      <w:pPr>
        <w:pStyle w:val="ConsPlusTitle"/>
        <w:numPr>
          <w:ilvl w:val="1"/>
          <w:numId w:val="5"/>
        </w:numPr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При установлении штатной численности государственных гражданских служащих субъекта Российской Федерации, ответственных за реализацию государственной миграционной политики в сфере социальной и культурной адаптации и интеграции иностранных граждан, руководствоваться законодательством Российской Федерации о государственной гражданской службе </w:t>
        <w:br/>
        <w:t>и труде, с учетом специфики субъекта Российской Федерации и значения показателя состояния национальной безопасности Российской Федерации «Доля населения, положительно оценивающего состояние межнациональных отношений, в общей численности населения Российской Федерации» (ФСО России).</w:t>
      </w:r>
    </w:p>
    <w:p>
      <w:pPr>
        <w:pStyle w:val="ConsPlusTitle"/>
        <w:numPr>
          <w:ilvl w:val="1"/>
          <w:numId w:val="5"/>
        </w:numPr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Главам муниципальных образований определить должностное лицо </w:t>
        <w:br/>
        <w:t xml:space="preserve">не ниже заместителя главы муниципального образования, в чью компетенцию войдут вопросы социальной и культурной адаптации и интеграции иностранных граждан </w:t>
        <w:br/>
        <w:t>на территории муниципального образования.</w:t>
      </w:r>
    </w:p>
    <w:p>
      <w:pPr>
        <w:pStyle w:val="ConsPlusTitle"/>
        <w:numPr>
          <w:ilvl w:val="1"/>
          <w:numId w:val="5"/>
        </w:numPr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Обеспечить разработку и реализацию соответствующих региональных государственных программ и подпрограмм, комплексов мер, комплексных планов </w:t>
        <w:br/>
        <w:t xml:space="preserve">и планов мероприятий либо иных инструментов реализации мероприятий </w:t>
        <w:br/>
        <w:t xml:space="preserve">по социальной и культурной адаптации и интеграции иностранных граждан </w:t>
        <w:br/>
        <w:t>на территории субъекта Российской Федерации с выделением необходимых финансовых средств.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left="720" w:hanging="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Реализация мероприятий по социальной и культурной адаптации иностранных граждан на территории субъектов Российской Федерации осуществляется в рамках специальных подпрограмм или регулируется отдельными нормативными правовыми актами.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Специальные подпрограммы приняты в следующих субъектах Российской Федерации: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Республика Дагестан – в рамках подпрограммы «Социальная и культурная адаптация и интеграция иностранных граждан в Республике Дагестан» государственной программы Республики Дагестан «Реализация государственной национальной политики в Республике Дагестан», утвержденной постановлением Правительства Республики Дагестан от 19 октября 2017 г. № 250;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Республика Саха (Якутия) – в рамках подпрограммы «Социально-культурная адаптация и интеграция мигрантов в Республике Саха (Якутия). Профилактика экстремизма» государственной программы Республики Саха (Якутия) «Укрепление общероссийской гражданской идентичности и этнокультурное развитие народов </w:t>
        <w:br/>
        <w:t>в Республике Саха (Якутия) на 2020–2024 годы», утвержденной Указом Главы Республики Саха (Якутия) от 12 декабря 2019 г. № 884;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Республика Татарстан – в рамках реализации подпрограммы 5 «Социально-культурная адаптация и интеграция иностранных граждан» Государственной программы «Реализация государственной национальной политики в Республике Татарстан на 2014–2022 годы»;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Красноярский край – в рамках реализации подпрограммы «Обеспечение деятельности системы по социальной и культурной интеграции и адаптации мигрантов» программы «Укрепление единства российской нации и этнокультурное развитие народов Красноярского края», утвержденной постановлением Правительства Красноярского края от 30 сентября 2014 г. № 442-п;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Пермский край – в рамках реализации подпрограммы 5 «Социально-культурная адаптация и интеграция иностранных граждан в Пермском крае» программы «Реализация государственной национальной политики в Пермском крае»;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Владимирская область – в рамках подпрограммы 4 «Социально-культурная адаптация и интеграция мигрантов во Владимирской области» государственной программы Владимирской области «Реализация государственной национальной политики во Владимирской области»;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Нижегородская область – в рамках подпрограммы 4 «Социально-культурная адаптация и интеграция мигрантов в Нижегородской области» государственной программы «Реализация государственной национальной политики на территории Нижегородской области», утвержденной постановлением Правительства Нижегородской области от 10 ноября 2017 г. № 797;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Самарская область – в рамках подпрограммы «Социальная адаптация мигрантов» государственной программы Самарской области «Содействие занятости населения Самарской области на 2019–2023 годы, утвержденной постановлением Правительства Самарской области от 4 декабря 2018 № 748;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Ульяновская область – в рамках реализации подпрограммы 5 «Социально-культурная адаптация и интеграция иностранных граждан в Ульяновской области» программы «Реализация государственной национальной политики в Ульяновской области»;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Челябинская область – в рамках реализации подпрограммы 5 «Социально-культурная адаптация и интеграция иностранных граждан в Челябинской области» программы «Реализация государственной национальной политики в Челябинской области», утвержденной постановлением Правительства Челябинской области </w:t>
        <w:br/>
        <w:t>от 20 декабря 2017 г. № 700-П.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В рамках реализации Плана мероприятий по социальной и культурной адаптации в следующих субъектах Российской Федерации: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Кабардино-Балкарская Республика – в рамках Плана мероприятий </w:t>
        <w:br/>
        <w:t xml:space="preserve">по реализации в 2019–2021 годах Стратегии государственной национальной политики Российской Федерации на период до 2025 года в Кабардино-Балкарской Республике, утвержденного распоряжением Правительства КБР </w:t>
        <w:br/>
        <w:t xml:space="preserve">от 15 февраля 2019 г. № 97-рп, включающего в себя раздел: «Создание условий </w:t>
        <w:br/>
        <w:t>для социальной и культурной адаптации и интеграции мигрантов»;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Республика Хакасия – в рамках Плана мероприятий по социальной </w:t>
        <w:br/>
        <w:t xml:space="preserve">и культурной адаптации мигрантов в Республике Хакасия на 2019–2021 годы, утвержденного Постановлением Президиума Правительства Республики Хакасия </w:t>
        <w:br/>
        <w:t>от 23 марта 2019 г. № 37-п;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Астраханская область – в рамках Плана мероприятий по социальной </w:t>
        <w:br/>
        <w:t xml:space="preserve">и культурной адаптации мигрантов Астраханской области, утвержденного распоряжением Правительства Астраханской области от 24 декабря 2018 г. </w:t>
        <w:br/>
        <w:t>№ 722-П;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Свердловская область – в рамках Плана мероприятий по реализации </w:t>
        <w:br/>
        <w:t xml:space="preserve">в Свердловской области в 2019–2021 годах Стратегии государственной национальной политики Российской Федерации на период до 2025 года, утвержденного распоряжением Правительства Свердловской области </w:t>
        <w:br/>
        <w:t xml:space="preserve">от 13 мая 2019 г. № 198-РП, предусматривающего реализацию мероприятий </w:t>
        <w:br/>
        <w:t>по направлению «Формирование системы социальной и культурной адаптации иностранных граждан в Российской Федерации и их интеграции в российское общество».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В рамках иных нормативных правовых актов в следующих субъектах Российской Федерации: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Карачаево-Черкесская Республика – в рамках положения «О мерах </w:t>
        <w:br/>
        <w:t xml:space="preserve">по обеспечению социальной и культурной адаптации мигрантов, прибывающих </w:t>
        <w:br/>
        <w:t>в Карачаево-Черкесскую Республику», утвержденного Правительством Карачаево-Черкесской Республики от 17 декабря 2019 г. № 314;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Приморский край – в рамках распоряжения «О мерах по обеспечению социальной и культурной адаптации мигрантов, профилактике межнациональных (межэтнических) конфликтов и обеспечению межнационального </w:t>
        <w:br/>
        <w:t>и межконфессионального согласия на территории Приморского края», утвержденного Администрацией Приморского края от 18 декабря 2014 г. № 432-ра.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</w:r>
    </w:p>
    <w:p>
      <w:pPr>
        <w:pStyle w:val="ConsPlusTitle"/>
        <w:numPr>
          <w:ilvl w:val="1"/>
          <w:numId w:val="6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Создать совместные рабочие органы (комиссии, советы и т.п.), включающие представителей органов государственной власти субъектов Российской Федерации, органов местного самоуправления и институтов гражданского общества в сфере миграции и укрепления межнациональных (межэтнических) </w:t>
        <w:br/>
        <w:t>и этно-конфессиональных отношений.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Подобные органы созданы в следующих регионах: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Республика Коми – Межведомственная комиссия по регулированию миграционных процессов в Республике Коми (Указ Главы Республики Коми </w:t>
        <w:br/>
        <w:t>от 11 апреля 2007 г. № 26 (ред. от 13.12.2019));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Республика Марий Эл – Правительственная комиссия по реализации Концепции государственной национальной политики Республики Марий Эл (постановление Правительства Республики Марий Эл от 7 июля 2008 г. № 176);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Республика Мордовия – Совет при Главе Республики Мордовия </w:t>
        <w:br/>
        <w:t>по межнациональным и межконфессиональным отношениям (Указ Главы Республики Мордовия от 13 мая 2014 г. № 112-УГ); Координационный совет Республики Мордовия по демографической и миграционной политике (Указ Главы Республики Мордовия от 21 марта 2008 г. № 58-УГ);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Курская область – Совет по межнациональным и межконфессиональным отношениям при Губернаторе Курской области (распоряжение Губернатора Курской области от 9 апреля 2019 г. № 106-рг);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Самарская область – Консультативный совет по социальной и культурной адаптации и интеграции мигрантов при министерстве труда, занятости </w:t>
        <w:br/>
        <w:t xml:space="preserve">и миграционной политики Самарской области (приказ Министерства труда, занятости и миграционной политики Самарской области от 16 июля 2019 г. </w:t>
        <w:br/>
        <w:t>№ 188-п);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Ярославская область – Координационный совет Ярославской области </w:t>
        <w:br/>
        <w:t>по вопросам межнациональных отношений (Указ Губернатора Ярославской области от 16 февраля 2011 г. № 38).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</w:r>
    </w:p>
    <w:p>
      <w:pPr>
        <w:pStyle w:val="ConsPlusTitle"/>
        <w:numPr>
          <w:ilvl w:val="1"/>
          <w:numId w:val="7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Содействовать организации и проведению на региональном и местном уровнях регулярных совещаний по актуальным вопросам реализации государственной миграционной политики, укрепления межнациональных (межэтнических) и этно-конфессиональных отношений и профилактики экстремизма, конференций, семинаров, круглых столов расширенных выездных семинаров-совещаний с участием представителей институтов гражданского общества.</w:t>
      </w:r>
    </w:p>
    <w:p>
      <w:pPr>
        <w:pStyle w:val="ConsPlusTitle"/>
        <w:numPr>
          <w:ilvl w:val="1"/>
          <w:numId w:val="7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Содействовать организации и проведению обучающих семинаров-совещаний для представителей региональных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заинтересованных организаций, </w:t>
        <w:br/>
        <w:t xml:space="preserve">а также общественных объединений. 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Во Владимирской области на базе Владимирского филиала РАНХиГС </w:t>
        <w:br/>
        <w:t xml:space="preserve">при Президенте Российской Федерации проводятся практикумы на тему: «Современные муниципальные практики социально-культурной адаптации </w:t>
        <w:br/>
        <w:t>и интеграции мигрантов».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В Санкт-Петербурге представителями Комитета по межнациональным отношениям и реализации миграционной политики проводятся консультации </w:t>
        <w:br/>
        <w:t xml:space="preserve">для сотрудников администраций Выборгского, Приморского и Кировского районов города в целях оказания методической помощи по вопросам противодействия социальной исключенности мигрантов, пространственной сегрегации </w:t>
        <w:br/>
        <w:t>и формированию этнических анклавов.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Создать при органах исполнительной власти субъекта Российской Федерации и местного самоуправления экспертные советы по вопросам гармонизации межнациональных (межэтнических) и этно-конфессиональных отношений с участием представителей науки, образования, экспертных учреждений, национальных объединений, религиозных и других заинтересованных организаций.</w:t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Обеспечить участие представителей региона от органов исполнительной власти и общественности в мероприятиях, организованных федеральным органом исполнительной власти, уполномоченным в сфере реализации государственной национальной политики.</w:t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Создать при органах исполнительной власти субъекта Российской Федерации комиссии по содействию занятости и регулирования процессов трудовой миграции с целью согласования действий органа местного самоуправления </w:t>
        <w:br/>
        <w:t>с заинтересованными участниками управления в области трудовой миграции.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Например, в Самарской области действует Областная межведомственная комиссия по вопросам внешней трудовой миграции (постановление Губернатора Самарской области от 10 апреля 2014 г. № 86).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Создать в субъектах Российской Федерации совместные рабочие органы заинтересованных сторон по вопросам легализации иностранных граждан, </w:t>
        <w:br/>
        <w:t>в том числе иностранных граждан, оказавшихся в трудной жизненной ситуации.</w:t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Обеспечить создание необходимой инфраструктуры для осуществления деятельности по социальной и культурной адаптации и интеграции иностранных граждан, в том числе на основе государственно-общественного партнерства («центры миграции», консультативные центры, в том числе и передвижные, осуществляющие информационную и правовую поддержку как иностранных граждан, так и всех заинтересованных сторон, организующие курсы по изучению традиций и культуры коренного населения региона).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4"/>
        <w:rPr>
          <w:rFonts w:ascii="Times New Roman" w:hAnsi="Times New Roman"/>
          <w:i/>
          <w:i/>
          <w:sz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Например, автономной благотворительной некоммерческой организацией </w:t>
      </w:r>
      <w:r>
        <w:rPr>
          <w:rFonts w:ascii="Times New Roman" w:hAnsi="Times New Roman"/>
          <w:i/>
          <w:sz w:val="28"/>
        </w:rPr>
        <w:t xml:space="preserve">«Новый век» внедрено новое для России направление – социальный патронат </w:t>
        <w:br/>
        <w:t>на мобильном передвижном комплексе «Помощь мигрантам в России». В рамках него оказывается оперативная юридическая, медицинская, социальная помощь мигрантам в местах их проживания, отдыха и трудовой деятельности. Это способствует поддержанию уровня информированности иностранных граждан, отслеживания тенденций в миграционной среде и профилактике асоциальных явлений. За счет медицинского компонента ведется профилактика и ранее выявление социально значимых заболеваний.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4"/>
        <w:rPr>
          <w:rFonts w:ascii="Times New Roman" w:hAnsi="Times New Roman"/>
          <w:i/>
          <w:i/>
          <w:sz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За период 2018–2020 гг. </w:t>
      </w:r>
      <w:r>
        <w:rPr>
          <w:rFonts w:ascii="Times New Roman" w:hAnsi="Times New Roman"/>
          <w:i/>
          <w:sz w:val="28"/>
        </w:rPr>
        <w:t>осуществлено 426 выездов для оказания помощи мигрантам в торговые комплексы, рынки, строительные объекты, общежития, мечети и другие объекты социальной инфраструктуры, в ходе которых первичной консультацией было охвачено 14 904 человек.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Осуществлять поддержку проектов социально ориентированных некоммерческих организаций, направленных на достижение целей по социальной </w:t>
        <w:br/>
        <w:t>и культурной адаптации и интеграции иностранных граждан в регионе.</w:t>
      </w:r>
    </w:p>
    <w:p>
      <w:pPr>
        <w:pStyle w:val="ConsPlusTitle"/>
        <w:numPr>
          <w:ilvl w:val="0"/>
          <w:numId w:val="0"/>
        </w:numPr>
        <w:tabs>
          <w:tab w:val="clear" w:pos="706"/>
          <w:tab w:val="left" w:pos="1080" w:leader="none"/>
        </w:tabs>
        <w:snapToGrid w:val="false"/>
        <w:spacing w:before="0" w:after="0"/>
        <w:ind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tabs>
          <w:tab w:val="clear" w:pos="706"/>
          <w:tab w:val="left" w:pos="1080" w:leader="none"/>
        </w:tabs>
        <w:snapToGrid w:val="false"/>
        <w:spacing w:before="0" w:after="0"/>
        <w:ind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 xml:space="preserve">К примеру, в Республике Татарстан на постоянной основе выделяются средства из регионального бюджета на поддержку социально значимых проектов </w:t>
        <w:br/>
        <w:t>по социальной и культурной адаптации, реализуемых различными социально ориентированными некоммерческими организациями, в том числе автономной благотворительной некоммерческой организацией «Новый век» и др.</w:t>
      </w:r>
    </w:p>
    <w:p>
      <w:pPr>
        <w:pStyle w:val="ConsPlusTitle"/>
        <w:numPr>
          <w:ilvl w:val="0"/>
          <w:numId w:val="0"/>
        </w:numPr>
        <w:tabs>
          <w:tab w:val="clear" w:pos="706"/>
          <w:tab w:val="left" w:pos="1080" w:leader="none"/>
        </w:tabs>
        <w:snapToGrid w:val="false"/>
        <w:spacing w:before="0" w:after="0"/>
        <w:ind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Обеспечить привлечение «Домов национальностей», «Домов дружбы», «Центров национальных культур» и других государственных бюджетных учреждений и методическое сопровождение их деятельности с целью широкого вовлечения граждан и общественных организаций, иностранных граждан </w:t>
        <w:br/>
        <w:t>в мероприятия по реализации задач государственной национальной политики Российской Федерации.</w:t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Подготовить в субъектах Российской Федерации региональные стандарты организации деятельности в сфере социальной и культурной адаптации </w:t>
        <w:br/>
        <w:t>и интеграции иностранных граждан. В таких региональных стандартах целесообразно закрепить требования к организации работы по обеспечению оптимальной структуры управления, системы коллегиальных органов, организационно-распорядительным документам.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color w:val="000000" w:themeColor="text1"/>
          <w:sz w:val="28"/>
          <w:szCs w:val="28"/>
        </w:rPr>
        <w:t>В качестве примера может быть использован Региональный стандарт организации на региональном и муниципальных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автономном округе – Югре, защите прав коренных малочисленных народов и других национальных меньшинств, социальной</w:t>
        <w:br/>
        <w:t>и культурной адаптации мигрантов, профилактике межнациональных (межэтнических) конфликтов, согласованный решением Межведомственной комиссии Ханты-Мансийского автономного округа – Югры по противодействию экстремистской деятельности от 16 сентября 2019 года.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1"/>
          <w:numId w:val="8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Содействовать установлению тесного взаимодействия между государственными органами исполнительной власти субъектов Российской Федерации, органами местного самоуправления и работодателями, привлекающими иностранных граждан для трудовой деятельности на территории Российской Федерации, с целью совершенствования реализации национальной политики в сфере социальной и культурной адаптации иностранных граждан. </w:t>
      </w:r>
    </w:p>
    <w:p>
      <w:pPr>
        <w:pStyle w:val="ListParagraph"/>
        <w:numPr>
          <w:ilvl w:val="1"/>
          <w:numId w:val="8"/>
        </w:numPr>
        <w:shd w:val="clear" w:color="auto" w:fill="FFFFFF"/>
        <w:tabs>
          <w:tab w:val="clear" w:pos="706"/>
          <w:tab w:val="left" w:pos="1080" w:leader="none"/>
        </w:tabs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Совершенствовать взаимодействие органов исполнительной власти субъекта Российской Федерации, осуществляющих работу в сферах образования, культуры, национальной политики, с образовательными организациями, в которых обучаются иностранные студенты.</w:t>
      </w:r>
    </w:p>
    <w:p>
      <w:pPr>
        <w:pStyle w:val="ListParagraph"/>
        <w:numPr>
          <w:ilvl w:val="1"/>
          <w:numId w:val="8"/>
        </w:numPr>
        <w:shd w:val="clear" w:color="auto" w:fill="FFFFFF"/>
        <w:tabs>
          <w:tab w:val="clear" w:pos="706"/>
          <w:tab w:val="left" w:pos="1080" w:leader="none"/>
        </w:tabs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Содействовать привлечению представителей национально-культурных автономий и диаспор, бизнес-структур, работодателей и заказчиков работ (услуг), образовательных организаций, в которых иностранные граждане получают образование, отдельных граждан к проведению мероприятий, направленных </w:t>
        <w:br/>
        <w:t xml:space="preserve">на обучение иностранных граждан русскому языку, их правовое просвещение </w:t>
        <w:br/>
        <w:t>и информирование о нормах поведения, культурных и религиозных традициях.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Например, тюменской областной общественной организацией «Центр развития лидерских и проектных компетенций» разработана и внедряется система образовательных и культурно-просветительских мероприятий, направленных </w:t>
        <w:br/>
        <w:t>на решение проблем, связанных с языковой и социальной интеграцией иностранных граждан и членов их семей в российскую социокультурную среду.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8"/>
        </w:numPr>
        <w:shd w:val="clear" w:color="auto" w:fill="FFFFFF"/>
        <w:tabs>
          <w:tab w:val="clear" w:pos="706"/>
          <w:tab w:val="left" w:pos="1080" w:leader="none"/>
        </w:tabs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Создать в субъекте Российской Федерации отдельные дошкольные образовательные учреждения, специализированные для всесторонней адаптации</w:t>
        <w:br/>
        <w:t xml:space="preserve"> и интеграции детей иностранных граждан.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Например, при поддержке киргизской диаспоры в целях обучения русскому языку, культуре и иностранным языкам в Москве для детей мигрантов организован клуб «Билим» (программа дошкольной подготовки и начальных классов, курсы иностранных языков, математики, компьютерные курсы, шашки/шахматы).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8"/>
        </w:numPr>
        <w:shd w:val="clear" w:color="auto" w:fill="FFFFFF"/>
        <w:tabs>
          <w:tab w:val="clear" w:pos="706"/>
          <w:tab w:val="left" w:pos="1080" w:leader="none"/>
        </w:tabs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Содействовать привлечению иностранных студентов и волонтеров </w:t>
        <w:br/>
        <w:t>из числа молодежи к работе с вновь прибывающими иностранными гражданами.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 xml:space="preserve">Центр помощи мигрантам «Рядом дом» занимается оказанием бесплатной всесторонней поддержки семей трудовых мигрантов и других иностранцев, столкнувшихся с трудностями на территории Российской Федерации, </w:t>
        <w:br/>
        <w:t>с привлечением волонтеров, в том числе из числа иностранных студентов.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Создателем благотворительной организации является священник Дионисий Гришков – участник многих волонтёрских проектов.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8"/>
        </w:numPr>
        <w:shd w:val="clear" w:color="auto" w:fill="FFFFFF"/>
        <w:tabs>
          <w:tab w:val="clear" w:pos="706"/>
          <w:tab w:val="left" w:pos="1080" w:leader="none"/>
        </w:tabs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Привлекать лидеров этнических диаспор и национально-культурных автономий к разъяснительной работе среди приезжающих иностранных граждан.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В Калининградской области автономная некоммерческая организация «Центр адаптации, социализации и интеграции мигрантов» реализует проект «Адаптация, социализация и интеграция трудовых мигрантов в социокультурное и нормативно-правовое поле Калининградской области».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 xml:space="preserve">Целевой аудиторией проекта являются иностранные граждане и члены </w:t>
        <w:br/>
        <w:t>их семей, впервые прибывшие с целью работы в регион из стран с безвизовым режимом (Азербайджан, Армения, Киргизия, Молдова, Таджикистан и Узбекистан). Примерное количество участников целевых групп составляет около 1700 иностранных граждан.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 xml:space="preserve">В рамках проекта обеспечивается непрерывная деятельность информационно-ресурсного центра, общественной приемной глав национально-культурных сообществ, интернет-портала, который проводит вводные ориентационные курсы </w:t>
        <w:br/>
        <w:t xml:space="preserve">по предоставлению информации об основах общественного устройства, правам </w:t>
        <w:br/>
        <w:t xml:space="preserve">и обязанностям иностранных граждан, нормам и культуре поведения </w:t>
        <w:br/>
        <w:t xml:space="preserve">в принимающем обществе, профилактике правонарушений, экстремизма, терроризма и наркомании, правилам профилактики социально опасных заболеваний.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9"/>
        </w:numPr>
        <w:shd w:val="clear" w:color="auto" w:fill="FFFFFF"/>
        <w:tabs>
          <w:tab w:val="clear" w:pos="706"/>
          <w:tab w:val="left" w:pos="1080" w:leader="none"/>
        </w:tabs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В сфере кадровой политики рекомендуется:</w:t>
      </w:r>
    </w:p>
    <w:p>
      <w:pPr>
        <w:pStyle w:val="ListParagraph"/>
        <w:numPr>
          <w:ilvl w:val="1"/>
          <w:numId w:val="9"/>
        </w:numPr>
        <w:shd w:val="clear" w:color="auto" w:fill="FFFFFF"/>
        <w:tabs>
          <w:tab w:val="clear" w:pos="706"/>
          <w:tab w:val="left" w:pos="1080" w:leader="none"/>
        </w:tabs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Обеспечить подготовку, переподготовку и повышение квалификации государственных гражданских служащих и муниципальных служащих, участвующих в реализации государственной миграционной политики, в соответствии </w:t>
        <w:br/>
        <w:t>с профессиональным стандартом специалиста в сфере национальных и религиозных отношений, утвержденным приказом Минтруда России от 2 августа 2018 г. № 514н «Об утверждении профессионального стандарта «Специалист в сфере национальных и религиозных отношений» (зарегистрирован Минюстом России 7 сентября 2018 г., регистрационный № 52115)».</w:t>
      </w:r>
    </w:p>
    <w:p>
      <w:pPr>
        <w:pStyle w:val="ConsPlusTitle"/>
        <w:numPr>
          <w:ilvl w:val="1"/>
          <w:numId w:val="9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  <w:br/>
        <w:t xml:space="preserve">в сфере социальной и культурной адаптации и интеграции иностранных граждан, </w:t>
        <w:br/>
        <w:t>для участия в обучении, организованном федеральным органом исполнительной власти, уполномоченным в сфере реализации государственной национальной политики, на базе одного из ведущих вузов страны.</w:t>
      </w:r>
    </w:p>
    <w:p>
      <w:pPr>
        <w:pStyle w:val="ConsPlusTitle"/>
        <w:numPr>
          <w:ilvl w:val="1"/>
          <w:numId w:val="9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  <w:br/>
        <w:t xml:space="preserve">в сфере социальной и культурной адаптации и интеграции иностранных граждан, </w:t>
        <w:br/>
        <w:t>на ежегодные обучающие семинары ФАДН России по реализации государственной национальной политики с целью межрегионального обмена положительным опытом.</w:t>
      </w:r>
    </w:p>
    <w:p>
      <w:pPr>
        <w:pStyle w:val="ConsPlusTitle"/>
        <w:numPr>
          <w:ilvl w:val="1"/>
          <w:numId w:val="9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Разработать совместно с научно-экспертным и педагогическим сообществом дополнительные программы профессионального обучения </w:t>
        <w:br/>
        <w:t>для представителей различных институтов гражданского общества (курсы, лектории, семинары и иные формы обучения).</w:t>
      </w:r>
    </w:p>
    <w:p>
      <w:pPr>
        <w:pStyle w:val="ConsPlusTitle"/>
        <w:numPr>
          <w:ilvl w:val="1"/>
          <w:numId w:val="9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Содействовать проведению региональных конференций, семинаров, круглых столов по вопросам социальной и культурной адаптации и интеграции иностранных граждан в принимающее сообщество.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10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/>
          <w:b w:val="false"/>
          <w:b w:val="false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/>
          <w:color w:val="000000" w:themeColor="text1"/>
          <w:sz w:val="28"/>
          <w:szCs w:val="28"/>
        </w:rPr>
        <w:t xml:space="preserve">В целях изучения </w:t>
      </w:r>
      <w:r>
        <w:rPr>
          <w:rFonts w:ascii="Times New Roman" w:hAnsi="Times New Roman"/>
          <w:b w:val="false"/>
          <w:bCs/>
          <w:sz w:val="28"/>
          <w:szCs w:val="28"/>
          <w:lang w:eastAsia="ru-RU"/>
        </w:rPr>
        <w:t>миграционной ситуации на территории субъекта Российской Федерации и прогноза ее развития рекомендуется:</w:t>
      </w:r>
    </w:p>
    <w:p>
      <w:pPr>
        <w:pStyle w:val="ConsPlusTitle"/>
        <w:numPr>
          <w:ilvl w:val="1"/>
          <w:numId w:val="10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Осуществлять постоянный мониторинг и анализ происходящих </w:t>
        <w:br/>
        <w:t xml:space="preserve">на территории субъекта Российской Федерации миграционных процессов </w:t>
        <w:br/>
        <w:t xml:space="preserve">и их влияния на социально-экономические, демографические, культурные, </w:t>
        <w:br/>
        <w:t>этно-конфессиональные и иные аспекты жизни российского общества с целью последующей корректировки мер государственной миграционной политики Российской Федерации; состояния конфликтности в межнациональных отношениях; степени радикализации иностранных граждан на территории вселения.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/>
          <w:b w:val="false"/>
          <w:b w:val="false"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/>
          <w:sz w:val="28"/>
          <w:szCs w:val="28"/>
          <w:lang w:eastAsia="ru-RU"/>
        </w:rPr>
        <w:t xml:space="preserve">Мониторинг рекомендуется осуществлять путем сбора и обобщения связанной с развитием региональной миграционной ситуации информации о деятельности органов государственной власти субъектов Российской Федерации и органов местного самоуправления; образовательных организаций всех уровней (мониторинг уровня освоения русского языка учащимися из семей мигрантов); средств массовой информации; коммерческих и некоммерческих организаций, осуществляющих деятельность в этнокультурной и этнополитической сфере; религиозных организаций и религиозных объединений, групп лиц, представляющих интересы диаспор, отдельных лиц, активно распространяющих информацию по вопросам межнациональных отношений, в том числе в сети Интернет; иная деятельность. 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/>
          <w:b w:val="false"/>
          <w:b w:val="false"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/>
          <w:sz w:val="28"/>
          <w:szCs w:val="28"/>
          <w:lang w:eastAsia="ru-RU"/>
        </w:rPr>
        <w:t xml:space="preserve">Предметом мониторинга выступают общественные отношения, складывающиеся в различных сферах и имеющие межнациональный </w:t>
        <w:br/>
        <w:t xml:space="preserve">и межрелигиозный (или межконфессиональный) конфликтный потенциал, </w:t>
        <w:br/>
        <w:t>в частности: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20"/>
        <w:contextualSpacing/>
        <w:jc w:val="both"/>
        <w:outlineLvl w:val="2"/>
        <w:rPr>
          <w:rFonts w:ascii="Times New Roman" w:hAnsi="Times New Roman"/>
          <w:b w:val="false"/>
          <w:b w:val="false"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/>
          <w:sz w:val="28"/>
          <w:szCs w:val="28"/>
          <w:lang w:eastAsia="ru-RU"/>
        </w:rPr>
        <w:t xml:space="preserve">экономические (общий уровень безработицы, структура регионального рынка труда с выделением количества безработных, имеющих постоянные регистрацию </w:t>
        <w:br/>
        <w:t xml:space="preserve">и постоянно проживающих в данном регионе; наличие фактических рабочих мест, </w:t>
        <w:br/>
        <w:t>с определением доли трудоустроенных иностранных граждан; уровень благосостояния граждан с определением количества лиц, имеющих минимальный доход, распределение собственности и др.);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20"/>
        <w:contextualSpacing/>
        <w:jc w:val="both"/>
        <w:outlineLvl w:val="2"/>
        <w:rPr>
          <w:rFonts w:ascii="Times New Roman" w:hAnsi="Times New Roman"/>
          <w:b w:val="false"/>
          <w:b w:val="false"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/>
          <w:sz w:val="28"/>
          <w:szCs w:val="28"/>
          <w:lang w:eastAsia="ru-RU"/>
        </w:rPr>
        <w:t>социальные (доступ к услугам, предоставляемым социальной инфраструктурой);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20"/>
        <w:contextualSpacing/>
        <w:jc w:val="both"/>
        <w:outlineLvl w:val="2"/>
        <w:rPr>
          <w:rFonts w:ascii="Times New Roman" w:hAnsi="Times New Roman"/>
          <w:b w:val="false"/>
          <w:b w:val="false"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/>
          <w:sz w:val="28"/>
          <w:szCs w:val="28"/>
          <w:lang w:eastAsia="ru-RU"/>
        </w:rPr>
        <w:t xml:space="preserve">культурные (удовлетворение языковых, образовательных, этнокультурных </w:t>
        <w:br/>
        <w:t>и религиозных потребностей и др.);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20"/>
        <w:contextualSpacing/>
        <w:jc w:val="both"/>
        <w:outlineLvl w:val="2"/>
        <w:rPr>
          <w:rFonts w:ascii="Times New Roman" w:hAnsi="Times New Roman"/>
          <w:b w:val="false"/>
          <w:b w:val="false"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/>
          <w:sz w:val="28"/>
          <w:szCs w:val="28"/>
          <w:lang w:eastAsia="ru-RU"/>
        </w:rPr>
        <w:t>криминогенные (уровень преступности, уровень раскрываемости преступлений, наличие этнопреступности и др.);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20"/>
        <w:contextualSpacing/>
        <w:jc w:val="both"/>
        <w:outlineLvl w:val="2"/>
        <w:rPr>
          <w:rFonts w:ascii="Times New Roman" w:hAnsi="Times New Roman"/>
          <w:b w:val="false"/>
          <w:b w:val="false"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/>
          <w:sz w:val="28"/>
          <w:szCs w:val="28"/>
          <w:lang w:eastAsia="ru-RU"/>
        </w:rPr>
        <w:t>иные процессы, которые могут оказывать воздействие на состояние межнациональных и межконфессиональных отношений.</w:t>
      </w:r>
    </w:p>
    <w:p>
      <w:pPr>
        <w:pStyle w:val="ConsPlusTitle"/>
        <w:numPr>
          <w:ilvl w:val="1"/>
          <w:numId w:val="11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Осуществлять проведение социологических исследований (целевых опросов общественного мнения), определяющих состояние межнациональных</w:t>
        <w:br/>
        <w:t>и межрелигиозных отношений, сбор и анализ оценок ситуации независимыми экспертами в сфере межнациональных отношений на конкретной территории.</w:t>
      </w:r>
    </w:p>
    <w:p>
      <w:pPr>
        <w:pStyle w:val="ConsPlusTitle"/>
        <w:numPr>
          <w:ilvl w:val="1"/>
          <w:numId w:val="12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Обеспечить на региональном уровне полноценное внедрение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субъектах Российской Федерации (далее – ГИСМ) с учетом постановления Правительства Российской Федерации от 28 октября 2017 г. № 1312 </w:t>
        <w:br/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>
      <w:pPr>
        <w:pStyle w:val="ConsPlusTitle"/>
        <w:numPr>
          <w:ilvl w:val="1"/>
          <w:numId w:val="1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Обеспечить подключение к ГИСМ органов местного самоуправления </w:t>
        <w:br/>
        <w:t xml:space="preserve">в целях обеспечения оперативного принятия управленческих решений </w:t>
        <w:br/>
        <w:t>по противодействию экстремизму, созданию условий для реализации мер, направленных на укрепление межнационального и межконфессионального согласия, социальной и культурной адаптации иностранных граждан, профилактике межнациональных (межэтнических) конфликтов.</w:t>
      </w:r>
    </w:p>
    <w:p>
      <w:pPr>
        <w:pStyle w:val="ConsPlusTitle"/>
        <w:numPr>
          <w:ilvl w:val="1"/>
          <w:numId w:val="1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При выявлении формирующихся конфликтов в сфере межнациональных </w:t>
        <w:br/>
        <w:t xml:space="preserve">и межрелигиозных отношений, их предупреждении руководствоваться приказом Минрегиона России от 14 октября 2013 г.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предупреждении и действиях, направленных на ликвидацию </w:t>
        <w:br/>
        <w:t>их последствий».</w:t>
      </w:r>
    </w:p>
    <w:p>
      <w:pPr>
        <w:pStyle w:val="ConsPlusTitle"/>
        <w:numPr>
          <w:ilvl w:val="1"/>
          <w:numId w:val="1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Осуществлять оперативное информационное взаимодействие </w:t>
        <w:br/>
        <w:t xml:space="preserve">с уполномоченными федеральными органами исполнительной власти </w:t>
        <w:br/>
        <w:t>и их территориальными органами посредством ГИСМ.</w:t>
      </w:r>
    </w:p>
    <w:p>
      <w:pPr>
        <w:pStyle w:val="ConsPlusTitle"/>
        <w:numPr>
          <w:ilvl w:val="1"/>
          <w:numId w:val="1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Осуществлять мониторинг реализации государственной политики </w:t>
        <w:br/>
        <w:t xml:space="preserve">в сфере социальной и культурной адаптации и интеграции иностранных граждан </w:t>
        <w:br/>
        <w:t>на соответствующей территории.</w:t>
      </w:r>
    </w:p>
    <w:p>
      <w:pPr>
        <w:pStyle w:val="ConsPlusTitle"/>
        <w:numPr>
          <w:ilvl w:val="1"/>
          <w:numId w:val="13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Осуществлять мониторинг блогосферы и других сетевых ресурсов </w:t>
        <w:br/>
        <w:t>с целью выявления экстремистских групп, установления радикально настроенных лиц, оказания на них профилактического воздействия в первую очередь в рамках государственной информационной системы мониторинга.</w:t>
      </w:r>
    </w:p>
    <w:p>
      <w:pPr>
        <w:pStyle w:val="ConsPlusTitle"/>
        <w:numPr>
          <w:ilvl w:val="0"/>
          <w:numId w:val="0"/>
        </w:numPr>
        <w:tabs>
          <w:tab w:val="clear" w:pos="706"/>
          <w:tab w:val="left" w:pos="1080" w:leader="none"/>
        </w:tabs>
        <w:snapToGrid w:val="false"/>
        <w:spacing w:before="0" w:after="0"/>
        <w:ind w:left="720" w:hanging="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1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 w:themeColor="text1"/>
          <w:sz w:val="28"/>
          <w:szCs w:val="28"/>
        </w:rPr>
        <w:t xml:space="preserve">В целях повышения информированности иностранных граждан </w:t>
        <w:br/>
        <w:t>о правилах поведения, проживания, труда, обычаях и традициях принимающей страны, ответственности за несоблюдение законов рекомендуется:</w:t>
      </w:r>
    </w:p>
    <w:p>
      <w:pPr>
        <w:pStyle w:val="ConsPlusTitle"/>
        <w:numPr>
          <w:ilvl w:val="1"/>
          <w:numId w:val="14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Организовать «горячие линии» по вопросам разъяснения действующего законодательства, трудоустройства на территории субъекта Российской Федерации.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Cs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color w:val="000000" w:themeColor="text1"/>
          <w:sz w:val="28"/>
          <w:szCs w:val="28"/>
        </w:rPr>
        <w:t>Подобная практика реализуется в Москве, Санкт-Петербурге, Красноярском крае и других субъектах Российской Федерации.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Cs/>
          <w:color w:val="000000" w:themeColor="text1"/>
          <w:sz w:val="28"/>
          <w:szCs w:val="28"/>
        </w:rPr>
      </w:r>
    </w:p>
    <w:p>
      <w:pPr>
        <w:pStyle w:val="ConsPlusTitle"/>
        <w:numPr>
          <w:ilvl w:val="1"/>
          <w:numId w:val="15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Развивать информационные ресурсы, включая ресурсы на основе </w:t>
        <w:br/>
        <w:t xml:space="preserve">IT-технологий и цифровых каналов коммуникаций, помогающие получить необходимые сведения о принимающей стране, ее правовых нормах, региональных особенностях принимающего субъекта, профильных государственных учреждениях, социально ориентированных некоммерческих организациях, образовательных курсах и услугах, страниц в социальных сетях официальных сообществ, представляющих </w:t>
        <w:br/>
        <w:t>ту или иную диаспору на территории субъекта Российской Федерации.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color w:val="000000" w:themeColor="text1"/>
          <w:sz w:val="28"/>
          <w:szCs w:val="28"/>
        </w:rPr>
        <w:t xml:space="preserve">В Республике Татарстан автономной благотворительной некоммерческой организацией «Новый век» разработана и апробирована «Модель комплексного подхода к социальной адаптации и интеграции трудовых мигрантов», которая состоит из четырех инновационных компонентов: социальный патронат </w:t>
        <w:br/>
        <w:t>в среде мигрантов, ориентационные курсы для трудовых мигрантов, мобильное приложение для мигрантов M-Help на 7 языках и Центр помощи мигрантам.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color w:val="000000" w:themeColor="text1"/>
          <w:sz w:val="28"/>
          <w:szCs w:val="28"/>
        </w:rPr>
        <w:t xml:space="preserve">В ходе проекта в 2018–2020 гг. было охвачено услугами 50 466  иностранных граждан, в том числе: первичные консультации работников – 14 904, обучение </w:t>
        <w:br/>
        <w:t>на вводных ориентационных курсах – 11 705 человек (проводится на русском языке</w:t>
        <w:br/>
        <w:t>с визуальным сопровождением на русском, узбекском и таджикском языках), консультирование социального работника Центра помощи мигрантам – 9322, юридическая помощь и консультации – 5503, медицинская помощь и консультации – 5252, медицинские и юридические консультации онлайн через мобильное приложение М-Help – 1360.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color w:val="000000" w:themeColor="text1"/>
          <w:sz w:val="28"/>
          <w:szCs w:val="28"/>
        </w:rPr>
      </w:r>
    </w:p>
    <w:p>
      <w:pPr>
        <w:pStyle w:val="ConsPlusTitle"/>
        <w:numPr>
          <w:ilvl w:val="1"/>
          <w:numId w:val="16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Создать консультационно-информационную и образовательную сеть </w:t>
        <w:br/>
        <w:t xml:space="preserve">по предоставлению иностранным гражданам и их детям доступных услуг </w:t>
        <w:br/>
        <w:t>по обучению русскому языку, истории, культуре и основам общественного устройства, ознакомлению с традициями, обычаями и образом жизни принимающего сообщества (на базе «домов дружбы», молодежных клубов, национальных кафе и т.п.).</w:t>
      </w:r>
    </w:p>
    <w:p>
      <w:pPr>
        <w:pStyle w:val="ConsPlusTitle"/>
        <w:numPr>
          <w:ilvl w:val="1"/>
          <w:numId w:val="16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Содействовать созданию страниц в социальных сетях от имени официальных сообществ, которые представляют ту или иную диаспору </w:t>
        <w:br/>
        <w:t>на территории Российской Федерации.</w:t>
      </w:r>
    </w:p>
    <w:p>
      <w:pPr>
        <w:pStyle w:val="ConsPlusTitle"/>
        <w:numPr>
          <w:ilvl w:val="1"/>
          <w:numId w:val="16"/>
        </w:numPr>
        <w:tabs>
          <w:tab w:val="clear" w:pos="706"/>
          <w:tab w:val="left" w:pos="1080" w:leader="none"/>
        </w:tabs>
        <w:snapToGrid w:val="false"/>
        <w:spacing w:before="0" w:after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Подготовить и распространить ознакомительные материалы (буклеты, брошюры, их электронных версии) для иностранных граждан о нормах, ценностях </w:t>
        <w:br/>
        <w:t>и стереотипах поведения, присущих местному населению, полезных информационных ресурсах и контактах по вопросам миграционного законодательства, взаимодействия с полицией, трудоустройства, аренды жилья, предоставления социальной помощи, услуг здравоохранения и образования, защиты прав, методические пособия для различных категорий участников с российской стороны.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4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4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В г. Санкт-Петербурге «Благотворительный фонд поддержки и развития просветительских и социальных проектов» (далее – ПСП-фонд) совместно </w:t>
        <w:br/>
        <w:t xml:space="preserve">с волонтерами осуществляет и поддерживает программы, направленные </w:t>
        <w:br/>
        <w:t xml:space="preserve">на решение проблем, связанных с миграционными процессами в регионе, развитием гражданского и гуманитарного просвещения, с 2015 года при поддержке Фонда президентских грантов действует как межрегиональный ресурсный центр в сфере адаптации иностранных граждан и развития межнациональных отношений. </w:t>
        <w:br/>
        <w:t xml:space="preserve">ПСП-фонд работает в 19 регионах Российской Федерации, а также </w:t>
        <w:br/>
        <w:t xml:space="preserve">в Таджикистане, Узбекистане, Киргизии. Непосредственную консультативную </w:t>
        <w:br/>
        <w:t xml:space="preserve">и правовую помощь получили более 5000 иностранных граждан и членов их семей. Разработано, издано и распространено более 40 наименований информационных материалов для иностранных граждан и членов их семей в регионах Российской Федерации и странах СНГ общим тиражом более 50 000 экземпляров. Разработано, издано и распространено более 15 наименований методических материалов </w:t>
        <w:br/>
        <w:t xml:space="preserve">по организации работы с иностранными гражданами и гармонизации межнациональных отношений для НКО, НКА, органов местного самоуправления общим тиражом более 7000 экземпляров. Консультативную и экспертную поддержку получили больше 150 общественных организаций. В период ограничений, связанных с пандемией коронавируса, ПСП-фонд оказал информационную </w:t>
        <w:br/>
        <w:t>и гуманитарную поддержку более 5000 мигрантам.</w:t>
      </w:r>
    </w:p>
    <w:p>
      <w:pPr>
        <w:pStyle w:val="ConsPlusTitle"/>
        <w:numPr>
          <w:ilvl w:val="0"/>
          <w:numId w:val="0"/>
        </w:numPr>
        <w:snapToGrid w:val="false"/>
        <w:spacing w:before="0" w:after="0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iCs/>
          <w:color w:val="000000" w:themeColor="text1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21921560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18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9" w:hanging="50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8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1229" w:hanging="520"/>
      </w:pPr>
    </w:lvl>
    <w:lvl w:ilvl="1">
      <w:start w:val="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>
    <w:lvl w:ilvl="0">
      <w:start w:val="1"/>
      <w:numFmt w:val="decimal"/>
      <w:lvlText w:val="%1."/>
      <w:lvlJc w:val="left"/>
      <w:pPr>
        <w:ind w:left="1229" w:hanging="52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77f0"/>
    <w:pPr>
      <w:widowControl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863fe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010a30"/>
    <w:rPr>
      <w:color w:val="0563C1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c042fe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c042fe"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a32a52"/>
    <w:rPr>
      <w:color w:val="605E5C"/>
      <w:shd w:fill="E1DFDD" w:val="clear"/>
    </w:rPr>
  </w:style>
  <w:style w:type="character" w:styleId="Style18" w:customStyle="1">
    <w:name w:val="Абзац списка Знак"/>
    <w:basedOn w:val="DefaultParagraphFont"/>
    <w:link w:val="a3"/>
    <w:qFormat/>
    <w:rsid w:val="00715d0b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a376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rsid w:val="002a376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zh-CN" w:bidi="ar-SA"/>
    </w:rPr>
  </w:style>
  <w:style w:type="paragraph" w:styleId="ConsPlusTitlePage" w:customStyle="1">
    <w:name w:val="ConsPlusTitlePage"/>
    <w:qFormat/>
    <w:rsid w:val="002a376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link w:val="a4"/>
    <w:qFormat/>
    <w:rsid w:val="000129e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863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c042fe"/>
    <w:pPr>
      <w:tabs>
        <w:tab w:val="clear" w:pos="706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c042fe"/>
    <w:pPr>
      <w:tabs>
        <w:tab w:val="clear" w:pos="706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e02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EB89-43DF-439D-8CF9-6E6E9D43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LibreOffice/6.4.4.2$Windows_x86 LibreOffice_project/3d775be2011f3886db32dfd395a6a6d1ca2630ff</Application>
  <Pages>18</Pages>
  <Words>5129</Words>
  <Characters>39571</Characters>
  <CharactersWithSpaces>44637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2020-11-12T07:17:00Z</dcterms:created>
  <dc:creator>П.А. Прилепский</dc:creator>
  <dc:description/>
  <dc:language>ru-RU</dc:language>
  <cp:lastModifiedBy/>
  <cp:lastPrinted>2020-11-11T14:01:00Z</cp:lastPrinted>
  <dcterms:modified xsi:type="dcterms:W3CDTF">2020-12-17T16:16:52Z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