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lang w:eastAsia="ru-RU"/>
        </w:rPr>
      </w:pPr>
      <w:r>
        <w:rPr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5775" cy="5715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8371152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25pt;height:45.00pt;mso-wrap-distance-left:0.00pt;mso-wrap-distance-top:0.00pt;mso-wrap-distance-right:0.00pt;mso-wrap-distance-bottom:0.00pt;rotation:0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/>
      <w:bookmarkStart w:id="0" w:name="_GoBack"/>
      <w:r/>
      <w:bookmarkEnd w:id="0"/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80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u w:val="single"/>
          <w:lang w:val="en-US"/>
        </w:rPr>
        <w:t xml:space="preserve">revkom</w:t>
      </w:r>
      <w:r>
        <w:rPr>
          <w:u w:val="single"/>
        </w:rPr>
        <w:t xml:space="preserve">@</w:t>
      </w:r>
      <w:r>
        <w:rPr>
          <w:u w:val="single"/>
          <w:lang w:val="en-US"/>
        </w:rPr>
        <w:t xml:space="preserve">vytegra</w:t>
      </w:r>
      <w:r>
        <w:rPr>
          <w:u w:val="single"/>
        </w:rPr>
        <w:t xml:space="preserve">-</w:t>
      </w:r>
      <w:r>
        <w:rPr>
          <w:u w:val="single"/>
          <w:lang w:val="en-US"/>
        </w:rPr>
        <w:t xml:space="preserve">adm</w:t>
      </w:r>
      <w:r>
        <w:rPr>
          <w:u w:val="single"/>
        </w:rPr>
        <w:t xml:space="preserve">.</w:t>
      </w:r>
      <w:r>
        <w:rPr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09" r="35560" b="3746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ed="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проект решения Городского Совета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«Город Вытегра»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left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 27.</w:t>
      </w:r>
      <w:r>
        <w:rPr>
          <w:rFonts w:ascii="Times New Roman" w:hAnsi="Times New Roman"/>
          <w:sz w:val="28"/>
          <w:szCs w:val="28"/>
        </w:rPr>
        <w:t xml:space="preserve">12.2023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lef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</w:t>
      </w:r>
      <w:r>
        <w:rPr>
          <w:rFonts w:ascii="Times New Roman" w:hAnsi="Times New Roman"/>
          <w:sz w:val="28"/>
          <w:szCs w:val="28"/>
        </w:rPr>
        <w:t xml:space="preserve">ия «Город Вытегра» от 19.12.2022 № 25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заключенного </w:t>
      </w:r>
      <w:r>
        <w:rPr>
          <w:rFonts w:ascii="Times New Roman" w:hAnsi="Times New Roman"/>
          <w:sz w:val="28"/>
          <w:szCs w:val="28"/>
        </w:rPr>
        <w:t xml:space="preserve">на 2023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оглашения между </w:t>
      </w:r>
      <w:r>
        <w:rPr>
          <w:rFonts w:ascii="Times New Roman" w:hAnsi="Times New Roman"/>
          <w:sz w:val="28"/>
          <w:szCs w:val="28"/>
        </w:rPr>
        <w:t xml:space="preserve">Городским Советом МО «Город Вытегра»</w:t>
      </w:r>
      <w:r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района.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</w:t>
      </w:r>
      <w:r>
        <w:rPr>
          <w:rFonts w:ascii="Times New Roman" w:hAnsi="Times New Roman"/>
          <w:sz w:val="28"/>
          <w:szCs w:val="28"/>
        </w:rPr>
        <w:t xml:space="preserve">Городского Совета Муниципального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от 19</w:t>
      </w:r>
      <w:r>
        <w:rPr>
          <w:rFonts w:ascii="Times New Roman" w:hAnsi="Times New Roman"/>
          <w:sz w:val="28"/>
          <w:szCs w:val="28"/>
        </w:rPr>
        <w:t xml:space="preserve">.1</w:t>
      </w:r>
      <w:r>
        <w:rPr>
          <w:rFonts w:ascii="Times New Roman" w:hAnsi="Times New Roman"/>
          <w:sz w:val="28"/>
          <w:szCs w:val="28"/>
        </w:rPr>
        <w:t xml:space="preserve">2.2022 № 25 «О</w:t>
      </w:r>
      <w:r>
        <w:rPr>
          <w:rFonts w:ascii="Times New Roman" w:hAnsi="Times New Roman"/>
          <w:sz w:val="28"/>
          <w:szCs w:val="28"/>
        </w:rPr>
        <w:t xml:space="preserve"> бюджете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на 2023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роектом решения п</w:t>
      </w:r>
      <w:r>
        <w:rPr>
          <w:rFonts w:ascii="Times New Roman" w:hAnsi="Times New Roman"/>
          <w:sz w:val="28"/>
          <w:szCs w:val="28"/>
        </w:rPr>
        <w:t xml:space="preserve">редлагается внести изменения в доходную и </w:t>
      </w:r>
      <w:r>
        <w:rPr>
          <w:rFonts w:ascii="Times New Roman" w:hAnsi="Times New Roman"/>
          <w:sz w:val="28"/>
          <w:szCs w:val="28"/>
        </w:rPr>
        <w:t xml:space="preserve">расходн</w:t>
      </w:r>
      <w:r>
        <w:rPr>
          <w:rFonts w:ascii="Times New Roman" w:hAnsi="Times New Roman"/>
          <w:sz w:val="28"/>
          <w:szCs w:val="28"/>
        </w:rPr>
        <w:t xml:space="preserve">ую части </w:t>
      </w:r>
      <w:r>
        <w:rPr>
          <w:rFonts w:ascii="Times New Roman" w:hAnsi="Times New Roman"/>
          <w:sz w:val="28"/>
          <w:szCs w:val="28"/>
        </w:rPr>
        <w:t xml:space="preserve">б</w:t>
      </w:r>
      <w:r>
        <w:rPr>
          <w:rFonts w:ascii="Times New Roman" w:hAnsi="Times New Roman"/>
          <w:sz w:val="28"/>
          <w:szCs w:val="28"/>
        </w:rPr>
        <w:t xml:space="preserve">юджета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Изменения в показатели бюджета на 2023 год приведены в таблице: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79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>
        <w:tblPrEx/>
        <w:trPr>
          <w:trHeight w:val="722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решением о бюджете от 19.12.2022 г. № 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 изменениями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Предлагаемые изменение проектом решения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Изменение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% изменения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254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Доходы всего (тыс.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257266,5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258266,5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+1000,0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+0,4%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blPrEx/>
        <w:trPr>
          <w:trHeight w:val="143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Налоговые и неналоговые доходы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45679,0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45679,0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175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Безвозмездные поступления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211587,5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212587,5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+1000,0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+0,5%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21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Расходы всего (тыс. 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262858,3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261689,9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-1168,4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-0,4%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blPrEx/>
        <w:trPr>
          <w:trHeight w:val="391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Дефицит (-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профицит (+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бюджета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-5591,8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-3423,4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2168,4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*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плановый объем доходов бюджета в 2023 году увеличится на </w:t>
      </w:r>
      <w:r>
        <w:rPr>
          <w:rFonts w:ascii="Times New Roman" w:hAnsi="Times New Roman"/>
          <w:sz w:val="28"/>
          <w:szCs w:val="28"/>
        </w:rPr>
        <w:t xml:space="preserve">1000,0 тыс. рублей и составит 258266,5</w:t>
      </w:r>
      <w:r>
        <w:rPr>
          <w:rFonts w:ascii="Times New Roman" w:hAnsi="Times New Roman"/>
          <w:sz w:val="28"/>
          <w:szCs w:val="28"/>
        </w:rPr>
        <w:t xml:space="preserve"> тыс. рублей. План поступлений налоговых и неналоговых доходов останется без изменений и составит 45679,0 тыс. 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Объем безвозмездных поступлений увеличится на </w:t>
      </w:r>
      <w:r>
        <w:rPr>
          <w:rFonts w:ascii="Times New Roman" w:hAnsi="Times New Roman"/>
          <w:sz w:val="28"/>
          <w:szCs w:val="28"/>
        </w:rPr>
        <w:t xml:space="preserve">1000,0 тыс. рублей и составит </w:t>
      </w:r>
      <w:r>
        <w:rPr>
          <w:rFonts w:ascii="Times New Roman" w:hAnsi="Times New Roman"/>
          <w:sz w:val="28"/>
          <w:szCs w:val="28"/>
        </w:rPr>
        <w:t xml:space="preserve">212587,5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>
        <w:rPr>
          <w:rFonts w:ascii="Times New Roman" w:hAnsi="Times New Roman"/>
          <w:sz w:val="28"/>
          <w:szCs w:val="28"/>
        </w:rPr>
        <w:t xml:space="preserve">Размеры уточнений по каждому виду доходов на 2023 год представлены в таблице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79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85"/>
      </w:tblGrid>
      <w:tr>
        <w:tblPrEx/>
        <w:trPr>
          <w:trHeight w:val="488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доходных источников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19.12.2022 № 25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(с изменениями)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Предлагаемые изменение проектом решения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Изменение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313"/>
        </w:trPr>
        <w:tc>
          <w:tcPr>
            <w:tcW w:w="31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Налоговые и неналоговые доходы  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45679,0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45679,0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blPrEx/>
        <w:trPr>
          <w:trHeight w:val="275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Безвозмездные поступления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211587,5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212587,5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+1000,0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Дотации бюджетам бюджетной системы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45887,7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46887,7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Субсидии бюджетам бюджетной системы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85450,5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85450,5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Субвенции бюджетам бюджетной системы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80000,0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80000,0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Прочие безвозмездные поступления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247,3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247,3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дотаций увеличится на 1000,0 тыс. рублей за счет увеличения дотации бюджетам городских поселений поселений на поддержку мер по обеспечению сбалансированности бюджетов и составит 46887,7 тыс. рублей.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Общий объем субсидий, субвенций </w:t>
      </w:r>
      <w:r>
        <w:rPr>
          <w:rFonts w:ascii="Times New Roman" w:hAnsi="Times New Roman"/>
          <w:sz w:val="28"/>
          <w:szCs w:val="28"/>
        </w:rPr>
        <w:t xml:space="preserve">и иных межбюджетных трансфертов не изменится и составит 85450,5 тыс. рублей, 2,0 тыс. рублей и 80000,0 тыс. рублей соответственно.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Доля безвозмездных поступлений в общем объеме доходов поселения – </w:t>
      </w:r>
      <w:r>
        <w:rPr>
          <w:rFonts w:ascii="Times New Roman" w:hAnsi="Times New Roman"/>
          <w:sz w:val="28"/>
          <w:szCs w:val="28"/>
        </w:rPr>
        <w:t xml:space="preserve">82,3</w:t>
      </w:r>
      <w:r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7,7 </w:t>
      </w:r>
      <w:r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Расходная часть бюджета сократится на </w:t>
      </w:r>
      <w:r>
        <w:rPr>
          <w:rFonts w:ascii="Times New Roman" w:hAnsi="Times New Roman"/>
          <w:sz w:val="28"/>
          <w:szCs w:val="28"/>
        </w:rPr>
        <w:t xml:space="preserve">1168,4 </w:t>
      </w:r>
      <w:r>
        <w:rPr>
          <w:rFonts w:ascii="Times New Roman" w:hAnsi="Times New Roman"/>
          <w:sz w:val="28"/>
          <w:szCs w:val="28"/>
        </w:rPr>
        <w:t xml:space="preserve">тыс. рублей, или на 0,4</w:t>
      </w:r>
      <w:r>
        <w:rPr>
          <w:rFonts w:ascii="Times New Roman" w:hAnsi="Times New Roman"/>
          <w:sz w:val="28"/>
          <w:szCs w:val="28"/>
        </w:rPr>
        <w:t xml:space="preserve">% и составит </w:t>
      </w:r>
      <w:r>
        <w:rPr>
          <w:rFonts w:ascii="Times New Roman" w:hAnsi="Times New Roman"/>
          <w:sz w:val="28"/>
          <w:szCs w:val="28"/>
        </w:rPr>
        <w:t xml:space="preserve">261689,9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 результате произведенных изменений дефицит бюджета сократится на 2168,4 тыс. рублей  и составит </w:t>
      </w:r>
      <w:r>
        <w:rPr>
          <w:rFonts w:ascii="Times New Roman" w:hAnsi="Times New Roman"/>
          <w:sz w:val="28"/>
          <w:szCs w:val="28"/>
        </w:rPr>
        <w:t xml:space="preserve">3423,4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Объем дефицита соответствует нормам статьи 92.1 Бюджетного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01.01.2023 года.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highlight w:val="none"/>
        </w:rPr>
        <w:t xml:space="preserve"> Проектом решения предлагается перераспределение бюджетных ассигнований между разделами, подразделами</w:t>
      </w:r>
      <w:r>
        <w:rPr>
          <w:rFonts w:ascii="Times New Roman" w:hAnsi="Times New Roman"/>
          <w:sz w:val="28"/>
          <w:szCs w:val="28"/>
        </w:rPr>
        <w:t xml:space="preserve"> классификации расходов бюджетов на 2023 год.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Изменения, внесенные в расходную часть бюджета</w:t>
      </w:r>
      <w:r>
        <w:rPr>
          <w:rFonts w:ascii="Times New Roman" w:hAnsi="Times New Roman"/>
          <w:sz w:val="28"/>
          <w:szCs w:val="28"/>
        </w:rPr>
        <w:t xml:space="preserve"> на 2023 год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разрезе разделов, подразделов </w:t>
      </w:r>
      <w:r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Проектом решения предлагается уменьшение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плановых ассигнований </w:t>
      </w:r>
      <w:r>
        <w:rPr>
          <w:rFonts w:ascii="Times New Roman" w:hAnsi="Times New Roman"/>
          <w:b/>
          <w:sz w:val="28"/>
          <w:szCs w:val="28"/>
        </w:rPr>
        <w:t xml:space="preserve">в разделе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в сумме 303,5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 xml:space="preserve">-2,3 %).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средств по разделу к утверждению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составляет 12832,2 тыс. рублей.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раздела в общих расходах бюджета после изменения составит </w:t>
      </w:r>
      <w:r>
        <w:rPr>
          <w:rFonts w:ascii="Times New Roman" w:hAnsi="Times New Roman"/>
          <w:sz w:val="28"/>
          <w:szCs w:val="28"/>
        </w:rPr>
        <w:t xml:space="preserve">4,9 %.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/>
          <w:iCs/>
          <w:sz w:val="28"/>
          <w:szCs w:val="28"/>
        </w:rPr>
        <w:t xml:space="preserve">подразделу 0103 «Функционирование 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расходы</w:t>
      </w:r>
      <w:r>
        <w:rPr>
          <w:rFonts w:ascii="Times New Roman" w:hAnsi="Times New Roman"/>
          <w:sz w:val="28"/>
          <w:szCs w:val="28"/>
        </w:rPr>
        <w:t xml:space="preserve"> уменьшены на 1,0 тыс. рублей (-0,1%), в том числе на выплаты персоналу расходы уменьшены на 1,5 тыс. рублей, на закупки товаров, работ и услуг для обеспечения  государственных (муниципальных нужд)  расходы увеличены на 0,5 тыс. руб 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 xml:space="preserve">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hAnsi="Times New Roman"/>
          <w:sz w:val="28"/>
          <w:szCs w:val="28"/>
        </w:rPr>
        <w:t xml:space="preserve"> в связи с невостребованностью </w:t>
      </w:r>
      <w:r>
        <w:rPr>
          <w:rFonts w:ascii="Times New Roman" w:hAnsi="Times New Roman"/>
          <w:sz w:val="28"/>
          <w:szCs w:val="28"/>
        </w:rPr>
        <w:t xml:space="preserve">уменьшаются</w:t>
      </w:r>
      <w:r>
        <w:rPr>
          <w:rFonts w:ascii="Times New Roman" w:hAnsi="Times New Roman"/>
          <w:sz w:val="28"/>
          <w:szCs w:val="28"/>
        </w:rPr>
        <w:t xml:space="preserve"> на 268,2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 xml:space="preserve">-2,6%) </w:t>
      </w:r>
      <w:r>
        <w:rPr>
          <w:rFonts w:ascii="Times New Roman" w:hAnsi="Times New Roman"/>
          <w:sz w:val="28"/>
          <w:szCs w:val="28"/>
        </w:rPr>
        <w:t xml:space="preserve">ассигнования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</w:t>
      </w:r>
      <w:r>
        <w:rPr>
          <w:rFonts w:ascii="Times New Roman" w:hAnsi="Times New Roman"/>
          <w:sz w:val="28"/>
          <w:szCs w:val="28"/>
        </w:rPr>
        <w:t xml:space="preserve">кущее содержание администрации муниципального образования «Город Вытегра», в том числе на закупку товаров, работ и услуг для обеспечения государственных (муниципальных) нужд - 258,4 тыс. рублей, на уплату налогов, командировочные расходы - 9,8 тыс. рублей.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 xml:space="preserve">подразделу 0113 «Другие общегосударственные вопросы»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ассигнования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в целом уменьшаются </w:t>
      </w:r>
      <w:r>
        <w:rPr>
          <w:rFonts w:ascii="Times New Roman" w:hAnsi="Times New Roman"/>
          <w:sz w:val="28"/>
          <w:szCs w:val="28"/>
          <w:highlight w:val="none"/>
        </w:rPr>
        <w:t xml:space="preserve">на 34,3 тыс.рублей (-3,0%)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числе:</w:t>
      </w:r>
      <w:r>
        <w:rPr>
          <w:rFonts w:ascii="Times New Roman" w:hAnsi="Times New Roman"/>
          <w:bCs w:val="0"/>
          <w:i w:val="0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на землеустроительные работы расходы уменьшены на 4,5 тыс. рублей, на исполнение судебных актов и мировых соглашений  на 35,2 тыс. рублей, на выполнение других обязательств государства на 0,1 тыс. рублей;</w:t>
      </w:r>
      <w:r>
        <w:rPr>
          <w:rFonts w:ascii="Times New Roman" w:hAnsi="Times New Roman"/>
          <w:bCs w:val="0"/>
          <w:i w:val="0"/>
          <w:sz w:val="28"/>
          <w:szCs w:val="28"/>
        </w:rPr>
      </w:r>
      <w:r>
        <w:rPr>
          <w:rFonts w:ascii="Times New Roman" w:hAnsi="Times New Roman"/>
          <w:bCs w:val="0"/>
          <w:i w:val="0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</w:rPr>
        <w:t xml:space="preserve">-увеличены расходы на </w:t>
      </w:r>
      <w:r>
        <w:rPr>
          <w:rFonts w:ascii="Times New Roman" w:hAnsi="Times New Roman"/>
          <w:sz w:val="28"/>
          <w:szCs w:val="28"/>
        </w:rPr>
        <w:t xml:space="preserve">текущий ремонт помещений, находящихся в муниципальной казне, на 5,5 тыс. рублей.</w:t>
      </w:r>
      <w:r>
        <w:rPr>
          <w:rFonts w:ascii="Times New Roman" w:hAnsi="Times New Roman"/>
          <w:b w:val="0"/>
          <w:bCs w:val="0"/>
          <w:i w:val="0"/>
          <w:sz w:val="28"/>
          <w:szCs w:val="28"/>
        </w:rPr>
      </w:r>
      <w:r>
        <w:rPr>
          <w:rFonts w:ascii="Times New Roman" w:hAnsi="Times New Roman"/>
          <w:b w:val="0"/>
          <w:bCs w:val="0"/>
          <w:i w:val="0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</w:rPr>
        <w:t xml:space="preserve">Проектом решения предлагается уменьшение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плановых ассигнований </w:t>
      </w:r>
      <w:r>
        <w:rPr>
          <w:rFonts w:ascii="Times New Roman" w:hAnsi="Times New Roman"/>
          <w:b/>
          <w:sz w:val="28"/>
          <w:szCs w:val="28"/>
        </w:rPr>
        <w:t xml:space="preserve">в разделе 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в сумме 10,6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 xml:space="preserve">-0,1 %).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средств по разделу к утверждению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составляет 7813,0 тыс. рублей.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раздела в общих расходах бюджета после изменения составит </w:t>
      </w:r>
      <w:r>
        <w:rPr>
          <w:rFonts w:ascii="Times New Roman" w:hAnsi="Times New Roman"/>
          <w:sz w:val="28"/>
          <w:szCs w:val="28"/>
        </w:rPr>
        <w:t xml:space="preserve">3,0 %.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 xml:space="preserve">подразделу 0409 «Дорожное хозяйство (дорожные фонды)»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расходы увеличиваются на 6,4 тыс. рублей, по </w:t>
      </w:r>
      <w:r>
        <w:rPr>
          <w:rFonts w:ascii="Times New Roman" w:hAnsi="Times New Roman"/>
          <w:i/>
          <w:sz w:val="28"/>
          <w:szCs w:val="28"/>
        </w:rPr>
        <w:t xml:space="preserve">подразделу 0412 «</w:t>
      </w:r>
      <w:r>
        <w:rPr>
          <w:rFonts w:ascii="Times New Roman" w:hAnsi="Times New Roman"/>
          <w:i/>
          <w:sz w:val="28"/>
          <w:szCs w:val="28"/>
        </w:rPr>
        <w:t xml:space="preserve">Другие</w:t>
      </w:r>
      <w:r>
        <w:rPr>
          <w:rFonts w:ascii="Times New Roman" w:hAnsi="Times New Roman"/>
          <w:i/>
          <w:sz w:val="28"/>
          <w:szCs w:val="28"/>
        </w:rPr>
        <w:t xml:space="preserve"> вопросы в области национальной экономики»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расходы сокращаются на 17,0 тыс. рублей.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уменьшить плановые ассигнования раздела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05 «Жилищно-коммунальное хозяйство» в целом </w:t>
      </w:r>
      <w:r>
        <w:rPr>
          <w:rFonts w:ascii="Times New Roman" w:hAnsi="Times New Roman"/>
          <w:sz w:val="28"/>
          <w:szCs w:val="28"/>
          <w:lang w:eastAsia="ru-RU"/>
        </w:rPr>
        <w:t xml:space="preserve">на 851,1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-0,4%),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средств по разделу к утверждению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–228916,1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87,5%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общих расходах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0501 «Жилищное  хозяйство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 ассигнования увеличиваются на 181,6 тыс. рублей (+5,5%), в том числе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уменьшаются на 148,0 тыс. рублей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на уплату взносов в Фонд капитального ремонта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, увеличиваются на 329,6 тыс. рублей на прочие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мероприятия в сфере жилищного хозяйства (текущие ремонты).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подразделу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0502 «Коммунальное хозяйство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проектом решения предлагается уменьшить </w:t>
      </w:r>
      <w:r>
        <w:rPr>
          <w:rFonts w:ascii="Times New Roman" w:hAnsi="Times New Roman"/>
          <w:sz w:val="28"/>
          <w:szCs w:val="28"/>
        </w:rPr>
        <w:t xml:space="preserve">расходы</w:t>
      </w:r>
      <w:r>
        <w:rPr>
          <w:rFonts w:ascii="Times New Roman" w:hAnsi="Times New Roman"/>
          <w:sz w:val="28"/>
          <w:szCs w:val="28"/>
        </w:rPr>
        <w:t xml:space="preserve"> на 73,4 тыс. рублей</w:t>
      </w:r>
      <w:r>
        <w:rPr>
          <w:rFonts w:ascii="Times New Roman" w:hAnsi="Times New Roman"/>
          <w:sz w:val="28"/>
          <w:szCs w:val="28"/>
        </w:rPr>
        <w:t xml:space="preserve"> (-0,1%).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По подразделу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0503 «Благоустройство</w:t>
      </w:r>
      <w:r>
        <w:rPr>
          <w:rFonts w:ascii="Times New Roman" w:hAnsi="Times New Roman"/>
          <w:sz w:val="28"/>
          <w:szCs w:val="28"/>
        </w:rPr>
        <w:t xml:space="preserve">» ассигнования уменьшаются на 959,3 тыс. рублей (-0,7%).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роектом решения предлагается уменьшить </w:t>
      </w:r>
      <w:r>
        <w:rPr>
          <w:rFonts w:ascii="Times New Roman" w:hAnsi="Times New Roman"/>
          <w:sz w:val="28"/>
          <w:szCs w:val="28"/>
        </w:rPr>
        <w:t xml:space="preserve">расходы на организацию уличного освещения на 302,4 тыс. рублей, на прочие мероприятия по благоустройству - на 673,1 тыс. рублей</w:t>
      </w:r>
      <w:r>
        <w:rPr>
          <w:rFonts w:ascii="Times New Roman" w:hAnsi="Times New Roman"/>
          <w:sz w:val="28"/>
          <w:szCs w:val="28"/>
        </w:rPr>
        <w:t xml:space="preserve">, увеличить расходы на организацию и содержание мест захоронений на 16,2 тыс. рублей.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решения предлагается уменьшение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плановых ассигнований </w:t>
      </w:r>
      <w:r>
        <w:rPr>
          <w:rFonts w:ascii="Times New Roman" w:hAnsi="Times New Roman"/>
          <w:b/>
          <w:sz w:val="28"/>
          <w:szCs w:val="28"/>
        </w:rPr>
        <w:t xml:space="preserve">в разделе 12 «Средства массовой информации»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 xml:space="preserve">подраздел «Периодическая печать и издательство»</w:t>
      </w:r>
      <w:r>
        <w:rPr>
          <w:rFonts w:ascii="Times New Roman" w:hAnsi="Times New Roman"/>
          <w:sz w:val="28"/>
          <w:szCs w:val="28"/>
        </w:rPr>
        <w:t xml:space="preserve">) в сумме 3,2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 xml:space="preserve">-12,8 %).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средств по разделу к утверждению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составляет 21,8 тыс. рублей.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Проектом решения вносятся и</w:t>
      </w:r>
      <w:r>
        <w:rPr>
          <w:rFonts w:ascii="Times New Roman" w:hAnsi="Times New Roman"/>
          <w:sz w:val="28"/>
          <w:szCs w:val="28"/>
          <w:lang w:eastAsia="ru-RU"/>
        </w:rPr>
        <w:t xml:space="preserve">зменения в объемы финансирования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униципальных  программ.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программ в 2023 году увеличив</w:t>
      </w:r>
      <w:r>
        <w:rPr>
          <w:rFonts w:ascii="Times New Roman" w:hAnsi="Times New Roman"/>
          <w:sz w:val="28"/>
          <w:szCs w:val="28"/>
          <w:lang w:eastAsia="ru-RU"/>
        </w:rPr>
        <w:t xml:space="preserve">ается на 6,4 тыс. 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и составит 88903,6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34,0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расходов.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доли программного финансирования составит 0,2%.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Изменения, внесенные в финансирование муниципальных программ </w:t>
      </w:r>
      <w:r>
        <w:rPr>
          <w:rFonts w:ascii="Times New Roman" w:hAnsi="Times New Roman"/>
          <w:sz w:val="28"/>
          <w:szCs w:val="28"/>
          <w:highlight w:val="white"/>
        </w:rPr>
        <w:t xml:space="preserve">на 2023 год</w:t>
      </w:r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  <w:highlight w:val="white"/>
        </w:rPr>
        <w:t xml:space="preserve">4 </w:t>
      </w:r>
      <w:r>
        <w:rPr>
          <w:rFonts w:ascii="Times New Roman" w:hAnsi="Times New Roman"/>
          <w:sz w:val="28"/>
          <w:szCs w:val="28"/>
          <w:highlight w:val="white"/>
        </w:rPr>
        <w:t xml:space="preserve">к Заключению.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Проектом решения вносятся соответствующие изменения в приложения к решению Городского Совета МО «Город</w:t>
      </w:r>
      <w:r>
        <w:rPr>
          <w:rFonts w:ascii="Times New Roman" w:hAnsi="Times New Roman"/>
          <w:sz w:val="28"/>
          <w:szCs w:val="28"/>
          <w:lang w:eastAsia="ru-RU"/>
        </w:rPr>
        <w:t xml:space="preserve"> Вытегра» от 19.12.2022 г. № 25</w:t>
      </w:r>
      <w:r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азования «Город Вытегра» на 2023 год и плановый период 2024 и 2025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решения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24.05.2022 № 82н «О Порядке формирования и применения ко</w:t>
      </w:r>
      <w:r>
        <w:rPr>
          <w:rFonts w:ascii="Times New Roman" w:hAnsi="Times New Roman"/>
          <w:sz w:val="28"/>
          <w:szCs w:val="28"/>
          <w:lang w:eastAsia="ru-RU"/>
        </w:rPr>
        <w:t xml:space="preserve">дов бюджетной класс</w:t>
      </w:r>
      <w:r>
        <w:rPr>
          <w:rFonts w:ascii="Times New Roman" w:hAnsi="Times New Roman"/>
          <w:sz w:val="28"/>
          <w:szCs w:val="28"/>
          <w:lang w:eastAsia="ru-RU"/>
        </w:rPr>
        <w:t xml:space="preserve">ификации Российской Федерации, их структуре и принципах назначения» ( ред. 01.06.2023), приказом Министерства финансов РФ от 17.05.2022 № 75н «Об утверждении кодов (перечней кодов) бюджетной классификации Российской Федерации на 2023 год (на 2023 год и пла</w:t>
      </w:r>
      <w:r>
        <w:rPr>
          <w:rFonts w:ascii="Times New Roman" w:hAnsi="Times New Roman"/>
          <w:sz w:val="28"/>
          <w:szCs w:val="28"/>
          <w:lang w:eastAsia="ru-RU"/>
        </w:rPr>
        <w:t xml:space="preserve">новый период 2024 и 2025 годов).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вносимых изменений позволяет сделать вывод об их обоснованности и целесообразности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       Выводы и предложения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 ре</w:t>
      </w:r>
      <w:r>
        <w:rPr>
          <w:rFonts w:ascii="Times New Roman" w:hAnsi="Times New Roman"/>
          <w:sz w:val="28"/>
          <w:szCs w:val="28"/>
        </w:rPr>
        <w:t xml:space="preserve">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Бюджетног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>
        <w:rPr>
          <w:rFonts w:ascii="Times New Roman" w:hAnsi="Times New Roman"/>
          <w:sz w:val="28"/>
          <w:szCs w:val="28"/>
        </w:rPr>
        <w:t xml:space="preserve">Гор</w:t>
      </w:r>
      <w:r>
        <w:rPr>
          <w:rFonts w:ascii="Times New Roman" w:hAnsi="Times New Roman"/>
          <w:sz w:val="28"/>
          <w:szCs w:val="28"/>
        </w:rPr>
        <w:t xml:space="preserve">од Вытегра».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</w:t>
      </w:r>
      <w:r>
        <w:rPr>
          <w:rFonts w:ascii="Times New Roman" w:hAnsi="Times New Roman"/>
          <w:sz w:val="28"/>
          <w:szCs w:val="28"/>
        </w:rPr>
        <w:t xml:space="preserve">ия «Город Вытегра» от 19</w:t>
      </w:r>
      <w:r>
        <w:rPr>
          <w:rFonts w:ascii="Times New Roman" w:hAnsi="Times New Roman"/>
          <w:sz w:val="28"/>
          <w:szCs w:val="28"/>
        </w:rPr>
        <w:t xml:space="preserve">.12.2</w:t>
      </w:r>
      <w:r>
        <w:rPr>
          <w:rFonts w:ascii="Times New Roman" w:hAnsi="Times New Roman"/>
          <w:sz w:val="28"/>
          <w:szCs w:val="28"/>
        </w:rPr>
        <w:t xml:space="preserve">022 № 25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 рассмотрению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И.А. Парфенова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567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  <w:num w:numId="16">
    <w:abstractNumId w:val="21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4"/>
    <w:next w:val="874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1">
    <w:name w:val="Heading 1 Char"/>
    <w:basedOn w:val="876"/>
    <w:link w:val="700"/>
    <w:uiPriority w:val="9"/>
    <w:rPr>
      <w:rFonts w:ascii="Arial" w:hAnsi="Arial" w:eastAsia="Arial" w:cs="Arial"/>
      <w:sz w:val="40"/>
      <w:szCs w:val="40"/>
    </w:rPr>
  </w:style>
  <w:style w:type="character" w:styleId="702">
    <w:name w:val="Heading 2 Char"/>
    <w:basedOn w:val="876"/>
    <w:link w:val="875"/>
    <w:uiPriority w:val="9"/>
    <w:rPr>
      <w:rFonts w:ascii="Arial" w:hAnsi="Arial" w:eastAsia="Arial" w:cs="Arial"/>
      <w:sz w:val="34"/>
    </w:rPr>
  </w:style>
  <w:style w:type="paragraph" w:styleId="703">
    <w:name w:val="Heading 3"/>
    <w:basedOn w:val="874"/>
    <w:next w:val="874"/>
    <w:link w:val="7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4">
    <w:name w:val="Heading 3 Char"/>
    <w:basedOn w:val="876"/>
    <w:link w:val="703"/>
    <w:uiPriority w:val="9"/>
    <w:rPr>
      <w:rFonts w:ascii="Arial" w:hAnsi="Arial" w:eastAsia="Arial" w:cs="Arial"/>
      <w:sz w:val="30"/>
      <w:szCs w:val="30"/>
    </w:rPr>
  </w:style>
  <w:style w:type="paragraph" w:styleId="705">
    <w:name w:val="Heading 4"/>
    <w:basedOn w:val="874"/>
    <w:next w:val="874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6">
    <w:name w:val="Heading 4 Char"/>
    <w:basedOn w:val="876"/>
    <w:link w:val="705"/>
    <w:uiPriority w:val="9"/>
    <w:rPr>
      <w:rFonts w:ascii="Arial" w:hAnsi="Arial" w:eastAsia="Arial" w:cs="Arial"/>
      <w:b/>
      <w:bCs/>
      <w:sz w:val="26"/>
      <w:szCs w:val="26"/>
    </w:rPr>
  </w:style>
  <w:style w:type="paragraph" w:styleId="707">
    <w:name w:val="Heading 5"/>
    <w:basedOn w:val="874"/>
    <w:next w:val="874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8">
    <w:name w:val="Heading 5 Char"/>
    <w:basedOn w:val="876"/>
    <w:link w:val="707"/>
    <w:uiPriority w:val="9"/>
    <w:rPr>
      <w:rFonts w:ascii="Arial" w:hAnsi="Arial" w:eastAsia="Arial" w:cs="Arial"/>
      <w:b/>
      <w:bCs/>
      <w:sz w:val="24"/>
      <w:szCs w:val="24"/>
    </w:rPr>
  </w:style>
  <w:style w:type="paragraph" w:styleId="709">
    <w:name w:val="Heading 6"/>
    <w:basedOn w:val="874"/>
    <w:next w:val="874"/>
    <w:link w:val="7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0">
    <w:name w:val="Heading 6 Char"/>
    <w:basedOn w:val="876"/>
    <w:link w:val="709"/>
    <w:uiPriority w:val="9"/>
    <w:rPr>
      <w:rFonts w:ascii="Arial" w:hAnsi="Arial" w:eastAsia="Arial" w:cs="Arial"/>
      <w:b/>
      <w:bCs/>
      <w:sz w:val="22"/>
      <w:szCs w:val="22"/>
    </w:rPr>
  </w:style>
  <w:style w:type="paragraph" w:styleId="711">
    <w:name w:val="Heading 7"/>
    <w:basedOn w:val="874"/>
    <w:next w:val="874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2">
    <w:name w:val="Heading 7 Char"/>
    <w:basedOn w:val="876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3">
    <w:name w:val="Heading 8"/>
    <w:basedOn w:val="874"/>
    <w:next w:val="874"/>
    <w:link w:val="71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4">
    <w:name w:val="Heading 8 Char"/>
    <w:basedOn w:val="876"/>
    <w:link w:val="713"/>
    <w:uiPriority w:val="9"/>
    <w:rPr>
      <w:rFonts w:ascii="Arial" w:hAnsi="Arial" w:eastAsia="Arial" w:cs="Arial"/>
      <w:i/>
      <w:iCs/>
      <w:sz w:val="22"/>
      <w:szCs w:val="22"/>
    </w:rPr>
  </w:style>
  <w:style w:type="paragraph" w:styleId="715">
    <w:name w:val="Heading 9"/>
    <w:basedOn w:val="874"/>
    <w:next w:val="874"/>
    <w:link w:val="7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>
    <w:name w:val="Heading 9 Char"/>
    <w:basedOn w:val="876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17">
    <w:name w:val="Title"/>
    <w:basedOn w:val="874"/>
    <w:next w:val="874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>
    <w:name w:val="Title Char"/>
    <w:basedOn w:val="876"/>
    <w:link w:val="717"/>
    <w:uiPriority w:val="10"/>
    <w:rPr>
      <w:sz w:val="48"/>
      <w:szCs w:val="48"/>
    </w:rPr>
  </w:style>
  <w:style w:type="paragraph" w:styleId="719">
    <w:name w:val="Subtitle"/>
    <w:basedOn w:val="874"/>
    <w:next w:val="874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basedOn w:val="876"/>
    <w:link w:val="719"/>
    <w:uiPriority w:val="11"/>
    <w:rPr>
      <w:sz w:val="24"/>
      <w:szCs w:val="24"/>
    </w:rPr>
  </w:style>
  <w:style w:type="paragraph" w:styleId="721">
    <w:name w:val="Quote"/>
    <w:basedOn w:val="874"/>
    <w:next w:val="874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4"/>
    <w:next w:val="874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4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Header Char"/>
    <w:basedOn w:val="876"/>
    <w:link w:val="725"/>
    <w:uiPriority w:val="99"/>
  </w:style>
  <w:style w:type="paragraph" w:styleId="727">
    <w:name w:val="Footer"/>
    <w:basedOn w:val="874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Footer Char"/>
    <w:basedOn w:val="876"/>
    <w:link w:val="727"/>
    <w:uiPriority w:val="99"/>
  </w:style>
  <w:style w:type="paragraph" w:styleId="729">
    <w:name w:val="Caption"/>
    <w:basedOn w:val="874"/>
    <w:next w:val="8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>
    <w:name w:val="Caption Char"/>
    <w:basedOn w:val="729"/>
    <w:link w:val="727"/>
    <w:uiPriority w:val="99"/>
  </w:style>
  <w:style w:type="table" w:styleId="731">
    <w:name w:val="Table Grid Light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>
    <w:name w:val="Grid Table 4 - Accent 1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0">
    <w:name w:val="Grid Table 4 - Accent 2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Grid Table 4 - Accent 3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2">
    <w:name w:val="Grid Table 4 - Accent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Grid Table 4 - Accent 5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4">
    <w:name w:val="Grid Table 4 - Accent 6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5">
    <w:name w:val="Grid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2">
    <w:name w:val="Grid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4">
    <w:name w:val="List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5">
    <w:name w:val="List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6">
    <w:name w:val="List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7">
    <w:name w:val="List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8">
    <w:name w:val="List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9">
    <w:name w:val="List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0">
    <w:name w:val="List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2">
    <w:name w:val="List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3">
    <w:name w:val="List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4">
    <w:name w:val="List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5">
    <w:name w:val="List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6">
    <w:name w:val="List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7">
    <w:name w:val="List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8">
    <w:name w:val="List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0">
    <w:name w:val="List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1">
    <w:name w:val="List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2">
    <w:name w:val="List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3">
    <w:name w:val="List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4">
    <w:name w:val="List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5">
    <w:name w:val="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 &amp; 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Bordered &amp; 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4">
    <w:name w:val="Bordered &amp; 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5">
    <w:name w:val="Bordered &amp; 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6">
    <w:name w:val="Bordered &amp; 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7">
    <w:name w:val="Bordered &amp; 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8">
    <w:name w:val="Bordered &amp; 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9">
    <w:name w:val="Bordered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0">
    <w:name w:val="Bordered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1">
    <w:name w:val="Bordered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2">
    <w:name w:val="Bordered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3">
    <w:name w:val="Bordered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4">
    <w:name w:val="Bordered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5">
    <w:name w:val="Bordered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874"/>
    <w:link w:val="858"/>
    <w:uiPriority w:val="99"/>
    <w:semiHidden/>
    <w:unhideWhenUsed/>
    <w:pPr>
      <w:spacing w:after="40" w:line="240" w:lineRule="auto"/>
    </w:pPr>
    <w:rPr>
      <w:sz w:val="18"/>
    </w:r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basedOn w:val="876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pPr>
      <w:spacing w:after="0" w:line="240" w:lineRule="auto"/>
    </w:pPr>
    <w:rPr>
      <w:sz w:val="20"/>
    </w:r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basedOn w:val="876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qFormat/>
    <w:rPr>
      <w:rFonts w:ascii="Calibri" w:hAnsi="Calibri" w:eastAsia="Times New Roman" w:cs="Times New Roman"/>
    </w:rPr>
  </w:style>
  <w:style w:type="paragraph" w:styleId="875">
    <w:name w:val="Heading 2"/>
    <w:basedOn w:val="874"/>
    <w:next w:val="874"/>
    <w:link w:val="889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table" w:styleId="879">
    <w:name w:val="Table Grid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0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1" w:customStyle="1">
    <w:name w:val="Знак"/>
    <w:basedOn w:val="87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82">
    <w:name w:val="Normal (Web)"/>
    <w:basedOn w:val="874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83">
    <w:name w:val="Balloon Text"/>
    <w:basedOn w:val="874"/>
    <w:link w:val="88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4" w:customStyle="1">
    <w:name w:val="Текст выноски Знак"/>
    <w:basedOn w:val="876"/>
    <w:link w:val="883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85">
    <w:name w:val="List Paragraph"/>
    <w:basedOn w:val="874"/>
    <w:uiPriority w:val="34"/>
    <w:qFormat/>
    <w:pPr>
      <w:contextualSpacing/>
      <w:ind w:left="720"/>
    </w:pPr>
  </w:style>
  <w:style w:type="paragraph" w:styleId="886">
    <w:name w:val="Body Text"/>
    <w:basedOn w:val="874"/>
    <w:link w:val="887"/>
    <w:pPr>
      <w:jc w:val="both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styleId="887" w:customStyle="1">
    <w:name w:val="Основной текст Знак"/>
    <w:basedOn w:val="876"/>
    <w:link w:val="886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88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889" w:customStyle="1">
    <w:name w:val="Заголовок 2 Знак"/>
    <w:basedOn w:val="876"/>
    <w:link w:val="875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B745-6E52-4E78-B34C-821ED1DB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34</cp:revision>
  <dcterms:created xsi:type="dcterms:W3CDTF">2023-05-30T10:20:00Z</dcterms:created>
  <dcterms:modified xsi:type="dcterms:W3CDTF">2023-12-28T10:13:08Z</dcterms:modified>
</cp:coreProperties>
</file>