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5775" cy="5715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3pt;height:45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before="40" w:line="233" w:lineRule="auto"/>
        <w:rPr>
          <w:rFonts w:ascii="Times New Roman" w:hAnsi="Times New Roman"/>
          <w:b/>
        </w:rPr>
      </w:pPr>
      <w:r/>
      <w:bookmarkStart w:id="0" w:name="_GoBack"/>
      <w:r/>
      <w:bookmarkEnd w:id="0"/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/>
    </w:p>
    <w:p>
      <w:pPr>
        <w:jc w:val="center"/>
        <w:spacing w:before="40" w:line="233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/>
    </w:p>
    <w:p>
      <w:pPr>
        <w:pStyle w:val="644"/>
        <w:jc w:val="center"/>
      </w:pPr>
      <w:r>
        <w:t xml:space="preserve">тел. (81746)</w:t>
      </w:r>
      <w:r>
        <w:t xml:space="preserve"> </w:t>
      </w:r>
      <w:r>
        <w:t xml:space="preserve">2-22-03</w:t>
      </w:r>
      <w:r>
        <w:t xml:space="preserve">,</w:t>
      </w:r>
      <w:r>
        <w:t xml:space="preserve"> </w:t>
      </w:r>
      <w:r>
        <w:t xml:space="preserve">факс (81746) ______,</w:t>
      </w:r>
      <w:r>
        <w:t xml:space="preserve">   </w:t>
      </w:r>
      <w:r>
        <w:t xml:space="preserve">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u w:val="single"/>
          <w:lang w:val="en-US"/>
        </w:rPr>
        <w:t xml:space="preserve">revkom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vytegra</w:t>
      </w:r>
      <w:r>
        <w:rPr>
          <w:u w:val="single"/>
        </w:rPr>
        <w:t xml:space="preserve">-</w:t>
      </w:r>
      <w:r>
        <w:rPr>
          <w:u w:val="single"/>
          <w:lang w:val="en-US"/>
        </w:rPr>
        <w:t xml:space="preserve">adm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/>
    </w:p>
    <w:p>
      <w:pPr>
        <w:jc w:val="center"/>
        <w:spacing w:before="40" w:line="233" w:lineRule="auto"/>
        <w:tabs>
          <w:tab w:val="left" w:pos="709" w:leader="none"/>
        </w:tabs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 xml:space="preserve">решени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Кемское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p>
      <w:pPr>
        <w:ind w:firstLine="709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</w:t>
      </w:r>
      <w:r>
        <w:rPr>
          <w:rFonts w:ascii="Times New Roman" w:hAnsi="Times New Roman"/>
          <w:sz w:val="28"/>
          <w:szCs w:val="28"/>
        </w:rPr>
        <w:t xml:space="preserve">09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г. Вытегра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Кемское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Кемское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>
        <w:rPr>
          <w:rFonts w:ascii="Times New Roman" w:hAnsi="Times New Roman"/>
          <w:sz w:val="28"/>
          <w:szCs w:val="28"/>
        </w:rPr>
        <w:t xml:space="preserve">Кемское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год. </w:t>
      </w:r>
      <w:r>
        <w:rPr>
          <w:rFonts w:ascii="Times New Roman" w:hAnsi="Times New Roman"/>
          <w:sz w:val="28"/>
          <w:szCs w:val="28"/>
        </w:rPr>
        <w:t xml:space="preserve">  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4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>
        <w:rPr>
          <w:sz w:val="28"/>
          <w:szCs w:val="28"/>
        </w:rPr>
        <w:t xml:space="preserve">Кемское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«О бюджете сельского поселения </w:t>
      </w:r>
      <w:r>
        <w:rPr>
          <w:sz w:val="28"/>
          <w:szCs w:val="28"/>
        </w:rPr>
        <w:t xml:space="preserve">Кемское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годов». </w:t>
      </w:r>
      <w:r/>
    </w:p>
    <w:p>
      <w:pPr>
        <w:pStyle w:val="644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Проектом решения предлагается внести изменения в доходную часть бюджета поселения на 2023 год. </w:t>
      </w:r>
      <w:r/>
    </w:p>
    <w:p>
      <w:pPr>
        <w:pStyle w:val="644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зменения в показатели бюджета поселения на 2023 год приведены в таблице:</w:t>
      </w:r>
      <w:r/>
    </w:p>
    <w:tbl>
      <w:tblPr>
        <w:tblStyle w:val="64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>
        <w:trPr>
          <w:trHeight w:val="540"/>
        </w:trPr>
        <w:tc>
          <w:tcPr>
            <w:tcW w:w="36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.12.2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W w:w="1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Предлагаемые проектом решения изменения</w:t>
            </w:r>
            <w:r/>
          </w:p>
        </w:tc>
        <w:tc>
          <w:tcPr>
            <w:tcW w:w="125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Изменение </w:t>
            </w:r>
            <w:r/>
          </w:p>
        </w:tc>
        <w:tc>
          <w:tcPr>
            <w:tcW w:w="110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% изменения</w:t>
            </w:r>
            <w:r/>
          </w:p>
        </w:tc>
      </w:tr>
      <w:tr>
        <w:trPr>
          <w:trHeight w:val="300"/>
        </w:trPr>
        <w:tc>
          <w:tcPr>
            <w:tcW w:w="36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Доходы, всего (тыс. рублей)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4070,7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4152,2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25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+81,5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10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+2,0%</w:t>
            </w:r>
            <w:r/>
            <w:r/>
          </w:p>
        </w:tc>
      </w:tr>
      <w:tr>
        <w:trPr>
          <w:trHeight w:val="300"/>
        </w:trPr>
        <w:tc>
          <w:tcPr>
            <w:tcW w:w="36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Налоговые и неналоговые доходы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237,0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237,0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25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10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0,0%</w:t>
            </w:r>
            <w:r/>
            <w:r/>
          </w:p>
        </w:tc>
      </w:tr>
      <w:tr>
        <w:trPr>
          <w:trHeight w:val="300"/>
        </w:trPr>
        <w:tc>
          <w:tcPr>
            <w:tcW w:w="36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3833,7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3915,2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25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+81,5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10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+2,1%</w:t>
            </w:r>
            <w:r/>
            <w:r/>
          </w:p>
        </w:tc>
      </w:tr>
      <w:tr>
        <w:trPr>
          <w:trHeight w:val="236"/>
        </w:trPr>
        <w:tc>
          <w:tcPr>
            <w:tcW w:w="36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Расходы, всего (тыс. рублей)</w:t>
            </w:r>
            <w:r/>
          </w:p>
        </w:tc>
        <w:tc>
          <w:tcPr>
            <w:tcW w:w="167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4434,8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</w:tc>
        <w:tc>
          <w:tcPr>
            <w:tcW w:w="167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4434,8</w:t>
            </w:r>
            <w:r/>
          </w:p>
        </w:tc>
        <w:tc>
          <w:tcPr>
            <w:tcW w:w="125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0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00"/>
        </w:trPr>
        <w:tc>
          <w:tcPr>
            <w:tcW w:w="36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Дефицит (-), профицит (+) бюджета</w:t>
            </w:r>
            <w:r/>
          </w:p>
        </w:tc>
        <w:tc>
          <w:tcPr>
            <w:tcW w:w="167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-364,1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167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-282,6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</w:tc>
        <w:tc>
          <w:tcPr>
            <w:tcW w:w="12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</w:tc>
        <w:tc>
          <w:tcPr>
            <w:tcW w:w="110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</w:tc>
      </w:tr>
    </w:tbl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Общий плановый объем доходов бюджета в 2023 году увеличится на 81,5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(+2,0</w:t>
      </w:r>
      <w:r>
        <w:rPr>
          <w:rFonts w:ascii="Times New Roman" w:hAnsi="Times New Roman"/>
          <w:sz w:val="28"/>
          <w:szCs w:val="28"/>
        </w:rPr>
        <w:t xml:space="preserve">%) и составит </w:t>
      </w:r>
      <w:r>
        <w:rPr>
          <w:rFonts w:ascii="Times New Roman" w:hAnsi="Times New Roman"/>
          <w:sz w:val="28"/>
          <w:szCs w:val="28"/>
        </w:rPr>
        <w:t xml:space="preserve">4152,2</w:t>
      </w:r>
      <w:r>
        <w:rPr>
          <w:rFonts w:ascii="Times New Roman" w:hAnsi="Times New Roman"/>
          <w:sz w:val="28"/>
          <w:szCs w:val="28"/>
        </w:rPr>
        <w:t xml:space="preserve"> тыс. рублей. План поступлений налоговых и неналоговых доходов останется без изменений и составит </w:t>
      </w:r>
      <w:r>
        <w:rPr>
          <w:rFonts w:ascii="Times New Roman" w:hAnsi="Times New Roman"/>
          <w:sz w:val="28"/>
          <w:szCs w:val="28"/>
        </w:rPr>
        <w:t xml:space="preserve">237,0</w:t>
      </w:r>
      <w:r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81,5</w:t>
      </w:r>
      <w:r>
        <w:rPr>
          <w:rFonts w:ascii="Times New Roman" w:hAnsi="Times New Roman"/>
          <w:sz w:val="28"/>
          <w:szCs w:val="28"/>
        </w:rPr>
        <w:t xml:space="preserve"> тыс. рублей (+2,1</w:t>
      </w:r>
      <w:r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 xml:space="preserve">за счет поступления дотаций на сбалансированность бюджетов.</w:t>
      </w:r>
      <w:r>
        <w:rPr>
          <w:rFonts w:ascii="Times New Roman" w:hAnsi="Times New Roman"/>
          <w:sz w:val="28"/>
          <w:szCs w:val="28"/>
        </w:rPr>
        <w:t xml:space="preserve"> Общий плановый объем дотаций составит 3494,4</w:t>
      </w:r>
      <w:r>
        <w:rPr>
          <w:rFonts w:ascii="Times New Roman" w:hAnsi="Times New Roman"/>
          <w:sz w:val="28"/>
          <w:szCs w:val="28"/>
        </w:rPr>
        <w:t xml:space="preserve"> тыс. рублей, безвозмездных поступлений в целом 3915,2 тыс. рублей. </w:t>
      </w:r>
      <w:r>
        <w:rPr>
          <w:rFonts w:ascii="Times New Roman" w:hAnsi="Times New Roman"/>
          <w:sz w:val="28"/>
          <w:szCs w:val="28"/>
        </w:rPr>
        <w:t xml:space="preserve">Дополнительно поступившие дотации направлены на возмещение выпадающих налоговых доходов в связи </w:t>
      </w:r>
      <w:r>
        <w:rPr>
          <w:rFonts w:ascii="Times New Roman" w:hAnsi="Times New Roman"/>
          <w:sz w:val="28"/>
          <w:szCs w:val="28"/>
        </w:rPr>
        <w:t xml:space="preserve">с возвратом земельного налога с организаций. </w:t>
      </w:r>
      <w:r>
        <w:rPr>
          <w:rFonts w:ascii="Times New Roman" w:hAnsi="Times New Roman"/>
          <w:sz w:val="28"/>
          <w:szCs w:val="28"/>
        </w:rPr>
        <w:t xml:space="preserve">Дол</w:t>
      </w:r>
      <w:r>
        <w:rPr>
          <w:rFonts w:ascii="Times New Roman" w:hAnsi="Times New Roman"/>
          <w:sz w:val="28"/>
          <w:szCs w:val="28"/>
        </w:rPr>
        <w:t xml:space="preserve">я безвозмездных поступлений в общем объеме доходов поселения –</w:t>
      </w:r>
      <w:r>
        <w:rPr>
          <w:rFonts w:ascii="Times New Roman" w:hAnsi="Times New Roman"/>
          <w:sz w:val="28"/>
          <w:szCs w:val="28"/>
        </w:rPr>
        <w:t xml:space="preserve"> 94,3</w:t>
      </w:r>
      <w:r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>
        <w:rPr>
          <w:rFonts w:ascii="Times New Roman" w:hAnsi="Times New Roman"/>
          <w:sz w:val="28"/>
          <w:szCs w:val="28"/>
        </w:rPr>
        <w:t xml:space="preserve">5,7</w:t>
      </w:r>
      <w:r>
        <w:rPr>
          <w:rFonts w:ascii="Times New Roman" w:hAnsi="Times New Roman"/>
          <w:sz w:val="28"/>
          <w:szCs w:val="28"/>
        </w:rPr>
        <w:t xml:space="preserve"> %. </w:t>
      </w:r>
      <w:r/>
    </w:p>
    <w:p>
      <w:pPr>
        <w:tabs>
          <w:tab w:val="left" w:pos="823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Расходная часть бюджета не изменится, общий плановый объем - 4434,8 тыс. рублей.  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внесенных изменений дефицит бюджета сократится на 81,5 тыс. рублей и составит 282,6 тыс. рублей. Размер </w:t>
      </w:r>
      <w:r>
        <w:rPr>
          <w:rFonts w:ascii="Times New Roman" w:hAnsi="Times New Roman"/>
          <w:sz w:val="28"/>
          <w:szCs w:val="28"/>
        </w:rPr>
        <w:t xml:space="preserve">дефицита соответствует нормам статьи 92.1 Бюджетного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01.01.2023 года.</w:t>
      </w:r>
      <w:r>
        <w:rPr>
          <w:rFonts w:ascii="Times New Roman" w:hAnsi="Times New Roman"/>
          <w:sz w:val="28"/>
          <w:szCs w:val="28"/>
        </w:rPr>
        <w:t xml:space="preserve"> </w:t>
      </w:r>
      <w:r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/>
    </w:p>
    <w:p>
      <w:pPr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 декабря 2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Кемское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годов».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/>
    </w:p>
    <w:p>
      <w:pPr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50"/>
        <w:jc w:val="both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Выводы и предложения.</w:t>
      </w:r>
      <w:r/>
    </w:p>
    <w:p>
      <w:pPr>
        <w:pStyle w:val="65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Представленный проект решения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Кемское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Кемское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»</w:t>
      </w:r>
      <w:r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</w:t>
      </w:r>
      <w:r>
        <w:rPr>
          <w:rFonts w:ascii="Times New Roman" w:hAnsi="Times New Roman"/>
          <w:sz w:val="28"/>
          <w:szCs w:val="28"/>
        </w:rPr>
        <w:t xml:space="preserve">иям бюджетного законодательства. </w:t>
      </w:r>
      <w:r/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удитор Ревизион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ой комиссии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О.Е. Нестерова </w:t>
      </w:r>
      <w:r/>
    </w:p>
    <w:sectPr>
      <w:footnotePr/>
      <w:endnotePr/>
      <w:type w:val="nextPage"/>
      <w:pgSz w:w="11906" w:h="16838" w:orient="portrait"/>
      <w:pgMar w:top="1134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0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2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9"/>
    <w:next w:val="63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9"/>
    <w:next w:val="63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9"/>
    <w:next w:val="63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9"/>
    <w:next w:val="63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9"/>
    <w:next w:val="63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9"/>
    <w:next w:val="63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9"/>
    <w:next w:val="63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9"/>
    <w:next w:val="63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9"/>
    <w:next w:val="63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39"/>
    <w:next w:val="63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0"/>
    <w:link w:val="34"/>
    <w:uiPriority w:val="10"/>
    <w:rPr>
      <w:sz w:val="48"/>
      <w:szCs w:val="48"/>
    </w:rPr>
  </w:style>
  <w:style w:type="paragraph" w:styleId="36">
    <w:name w:val="Subtitle"/>
    <w:basedOn w:val="639"/>
    <w:next w:val="63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0"/>
    <w:link w:val="36"/>
    <w:uiPriority w:val="11"/>
    <w:rPr>
      <w:sz w:val="24"/>
      <w:szCs w:val="24"/>
    </w:rPr>
  </w:style>
  <w:style w:type="paragraph" w:styleId="38">
    <w:name w:val="Quote"/>
    <w:basedOn w:val="639"/>
    <w:next w:val="6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9"/>
    <w:next w:val="6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40"/>
    <w:link w:val="659"/>
    <w:uiPriority w:val="99"/>
  </w:style>
  <w:style w:type="character" w:styleId="45">
    <w:name w:val="Footer Char"/>
    <w:basedOn w:val="640"/>
    <w:link w:val="661"/>
    <w:uiPriority w:val="99"/>
  </w:style>
  <w:style w:type="paragraph" w:styleId="46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1"/>
    <w:uiPriority w:val="99"/>
  </w:style>
  <w:style w:type="table" w:styleId="49">
    <w:name w:val="Table Grid Light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0"/>
    <w:uiPriority w:val="99"/>
    <w:unhideWhenUsed/>
    <w:rPr>
      <w:vertAlign w:val="superscript"/>
    </w:rPr>
  </w:style>
  <w:style w:type="paragraph" w:styleId="178">
    <w:name w:val="endnote text"/>
    <w:basedOn w:val="6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0"/>
    <w:uiPriority w:val="99"/>
    <w:semiHidden/>
    <w:unhideWhenUsed/>
    <w:rPr>
      <w:vertAlign w:val="superscript"/>
    </w:rPr>
  </w:style>
  <w:style w:type="paragraph" w:styleId="181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qFormat/>
    <w:rPr>
      <w:rFonts w:ascii="Calibri" w:hAnsi="Calibri" w:eastAsia="Times New Roman" w:cs="Times New Roman"/>
    </w:rPr>
  </w:style>
  <w:style w:type="character" w:styleId="640" w:default="1">
    <w:name w:val="Default Paragraph Font"/>
    <w:uiPriority w:val="1"/>
    <w:semiHidden/>
    <w:unhideWhenUsed/>
  </w:style>
  <w:style w:type="table" w:styleId="6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2" w:default="1">
    <w:name w:val="No List"/>
    <w:uiPriority w:val="99"/>
    <w:semiHidden/>
    <w:unhideWhenUsed/>
  </w:style>
  <w:style w:type="table" w:styleId="643">
    <w:name w:val="Table Grid"/>
    <w:basedOn w:val="64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44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5" w:customStyle="1">
    <w:name w:val="Знак"/>
    <w:basedOn w:val="63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646">
    <w:name w:val="Normal (Web)"/>
    <w:basedOn w:val="639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47">
    <w:name w:val="Balloon Text"/>
    <w:basedOn w:val="639"/>
    <w:link w:val="6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8" w:customStyle="1">
    <w:name w:val="Текст выноски Знак"/>
    <w:basedOn w:val="640"/>
    <w:link w:val="647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649">
    <w:name w:val="List Paragraph"/>
    <w:basedOn w:val="639"/>
    <w:uiPriority w:val="34"/>
    <w:qFormat/>
    <w:pPr>
      <w:contextualSpacing/>
      <w:ind w:left="720"/>
    </w:pPr>
  </w:style>
  <w:style w:type="paragraph" w:styleId="650" w:customStyle="1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651" w:customStyle="1">
    <w:name w:val="Сетка таблицы1"/>
    <w:basedOn w:val="641"/>
    <w:next w:val="64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52">
    <w:name w:val="Hyperlink"/>
    <w:basedOn w:val="640"/>
    <w:uiPriority w:val="99"/>
    <w:unhideWhenUsed/>
    <w:rPr>
      <w:color w:val="0000ff" w:themeColor="hyperlink"/>
      <w:u w:val="single"/>
    </w:rPr>
  </w:style>
  <w:style w:type="character" w:styleId="653" w:customStyle="1">
    <w:name w:val="blk1"/>
    <w:basedOn w:val="640"/>
    <w:rPr>
      <w:vanish w:val="0"/>
    </w:rPr>
  </w:style>
  <w:style w:type="character" w:styleId="654">
    <w:name w:val="annotation reference"/>
    <w:basedOn w:val="640"/>
    <w:uiPriority w:val="99"/>
    <w:semiHidden/>
    <w:unhideWhenUsed/>
    <w:rPr>
      <w:sz w:val="16"/>
      <w:szCs w:val="16"/>
    </w:rPr>
  </w:style>
  <w:style w:type="paragraph" w:styleId="655">
    <w:name w:val="annotation text"/>
    <w:basedOn w:val="639"/>
    <w:link w:val="656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56" w:customStyle="1">
    <w:name w:val="Текст примечания Знак"/>
    <w:basedOn w:val="640"/>
    <w:link w:val="655"/>
    <w:uiPriority w:val="99"/>
    <w:semiHidden/>
    <w:rPr>
      <w:rFonts w:ascii="Calibri" w:hAnsi="Calibri" w:eastAsia="Times New Roman" w:cs="Times New Roman"/>
      <w:sz w:val="20"/>
      <w:szCs w:val="20"/>
    </w:rPr>
  </w:style>
  <w:style w:type="paragraph" w:styleId="657">
    <w:name w:val="annotation subject"/>
    <w:basedOn w:val="655"/>
    <w:next w:val="655"/>
    <w:link w:val="658"/>
    <w:uiPriority w:val="99"/>
    <w:semiHidden/>
    <w:unhideWhenUsed/>
    <w:rPr>
      <w:b/>
      <w:bCs/>
    </w:rPr>
  </w:style>
  <w:style w:type="character" w:styleId="658" w:customStyle="1">
    <w:name w:val="Тема примечания Знак"/>
    <w:basedOn w:val="656"/>
    <w:link w:val="657"/>
    <w:uiPriority w:val="99"/>
    <w:semiHidden/>
    <w:rPr>
      <w:rFonts w:ascii="Calibri" w:hAnsi="Calibri" w:eastAsia="Times New Roman" w:cs="Times New Roman"/>
      <w:b/>
      <w:bCs/>
      <w:sz w:val="20"/>
      <w:szCs w:val="20"/>
    </w:rPr>
  </w:style>
  <w:style w:type="paragraph" w:styleId="659">
    <w:name w:val="Header"/>
    <w:basedOn w:val="639"/>
    <w:link w:val="6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0" w:customStyle="1">
    <w:name w:val="Верхний колонтитул Знак"/>
    <w:basedOn w:val="640"/>
    <w:link w:val="659"/>
    <w:uiPriority w:val="99"/>
    <w:rPr>
      <w:rFonts w:ascii="Calibri" w:hAnsi="Calibri" w:eastAsia="Times New Roman" w:cs="Times New Roman"/>
    </w:rPr>
  </w:style>
  <w:style w:type="paragraph" w:styleId="661">
    <w:name w:val="Footer"/>
    <w:basedOn w:val="639"/>
    <w:link w:val="6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2" w:customStyle="1">
    <w:name w:val="Нижний колонтитул Знак"/>
    <w:basedOn w:val="640"/>
    <w:link w:val="661"/>
    <w:uiPriority w:val="99"/>
    <w:rPr>
      <w:rFonts w:ascii="Calibri" w:hAnsi="Calibri" w:eastAsia="Times New Roman" w:cs="Times New Roman"/>
    </w:rPr>
  </w:style>
  <w:style w:type="table" w:styleId="663" w:customStyle="1">
    <w:name w:val="Сетка таблицы2"/>
    <w:basedOn w:val="641"/>
    <w:next w:val="64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664" w:customStyle="1">
    <w:name w:val="Сетка таблицы11"/>
    <w:basedOn w:val="641"/>
    <w:next w:val="64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F74E-64EC-4283-82C9-F27A05EE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92</cp:revision>
  <dcterms:created xsi:type="dcterms:W3CDTF">2018-05-17T09:59:00Z</dcterms:created>
  <dcterms:modified xsi:type="dcterms:W3CDTF">2023-09-22T06:41:33Z</dcterms:modified>
</cp:coreProperties>
</file>