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r>
        <w:rPr>
          <w:rFonts w:ascii="Times New Roman" w:hAnsi="Times New Roman"/>
          <w:sz w:val="28"/>
          <w:szCs w:val="28"/>
        </w:rPr>
        <w:t xml:space="preserve">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заключениях на проекты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</w:t>
      </w:r>
      <w:r>
        <w:rPr>
          <w:rFonts w:ascii="Times New Roman" w:hAnsi="Times New Roman"/>
          <w:b/>
          <w:sz w:val="28"/>
          <w:szCs w:val="28"/>
        </w:rPr>
        <w:t xml:space="preserve"> июль</w:t>
      </w:r>
      <w:r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tbl>
      <w:tblPr>
        <w:tblStyle w:val="841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п/п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Инициатор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заключения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Выводы и предложения по результатам экспертизы НПА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gridSpan w:val="5"/>
            <w:tcW w:w="15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закреплении муниципального имущества на праве оперативного управления за Казенным учреждением культуры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 xml:space="preserve">    Ревизионная комиссия ВМР рекомендует исключить земельные участки из перечня недвижимого имущества, передаваемого в оперативное управление КУК «</w:t>
            </w:r>
            <w:r>
              <w:rPr>
                <w:rFonts w:ascii="Times New Roman" w:hAnsi="Times New Roman"/>
                <w:sz w:val="20"/>
                <w:szCs w:val="20"/>
                <w:u w:val="none"/>
              </w:rPr>
              <w:t xml:space="preserve">Онего</w:t>
            </w:r>
            <w:r>
              <w:rPr>
                <w:rFonts w:ascii="Times New Roman" w:hAnsi="Times New Roman"/>
                <w:sz w:val="20"/>
                <w:szCs w:val="20"/>
                <w:u w:val="none"/>
              </w:rPr>
              <w:t xml:space="preserve">».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</w:r>
          </w:p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eastAsiaTheme="minorEastAsia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Theme="minorEastAsia"/>
                <w:sz w:val="20"/>
                <w:szCs w:val="20"/>
                <w:u w:val="none"/>
                <w:lang w:eastAsia="ru-RU"/>
              </w:rPr>
              <w:t xml:space="preserve">    Ревизионная комиссия напоминает</w:t>
            </w:r>
            <w:r>
              <w:rPr>
                <w:rFonts w:ascii="Times New Roman" w:hAnsi="Times New Roman" w:eastAsiaTheme="minorEastAsia"/>
                <w:sz w:val="20"/>
                <w:szCs w:val="20"/>
                <w:u w:val="none"/>
                <w:lang w:eastAsia="ru-RU"/>
              </w:rPr>
              <w:t xml:space="preserve"> о необходимости регистрации права оперативного управления на недвижимость.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eastAsiaTheme="minorEastAsia"/>
                <w:sz w:val="28"/>
                <w:szCs w:val="28"/>
                <w:u w:val="single"/>
              </w:rPr>
            </w:r>
            <w:r>
              <w:rPr>
                <w:rFonts w:ascii="Times New Roman" w:hAnsi="Times New Roman" w:eastAsiaTheme="minorEastAsia"/>
                <w:sz w:val="28"/>
                <w:szCs w:val="28"/>
                <w:u w:val="single"/>
              </w:rPr>
            </w:r>
          </w:p>
          <w:p>
            <w:pPr>
              <w:jc w:val="both"/>
              <w:spacing w:after="0"/>
              <w:tabs>
                <w:tab w:val="left" w:pos="567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Проект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постановления администрации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закреплении муниципального имущества на праве оперативного управления за Казенным учреждением культуры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оответств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требованиям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юджетного кодекса Российской Федерации,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06.10.2003 года № 131 –ФЗ «Об общих принципах организации местного самоупра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вления в Российской Федерации»,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 не в полной мере соответствует нормам Гражданского кодекса Российской Федерации,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Положения о порядке управления и распоряжения муниципальным имуществом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утвержденного решением Совета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29.03.2023 года № 23.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Ревизионная комиссия ВМР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u w:val="none"/>
              </w:rPr>
              <w:t xml:space="preserve">рекомендует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u w:val="none"/>
              </w:rPr>
              <w:t xml:space="preserve">вернуть проект постановления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u w:val="none"/>
              </w:rPr>
              <w:t xml:space="preserve">на доработку.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Представительного Собрания Вытег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орского муниципального район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12.07.2023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 мерах, обеспечивающих возможность предоставления отсрочки уплаты арендной платы по договорам аренды имущества и аренды земельных участков, находящихся в собственности района и расторжения договоров аренды без применения штрафных санкций»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Ревизионная комиссия рекомендует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дополнить пояснительную записку информацией об оценке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исполнения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годового плана поступлен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ия доходов от данного источника в 2023 году.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ект решения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«О мерах, обеспечивающих возможность предоставления отсрочки уплаты арендной платы по договорам аренды имущества и аренды земельных участков, находящихся в собственности района и расторжения договоров аренды без применения штрафных санкций»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предложен к утверждению Представительного Собрания ВМР в соответствии с полномочиями, предусмотренными Федеральным законом от 6 октября 2003 г.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№ 131-ФЗ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«Об общих принципах организации местного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самоуправления в Российской Федерации»,  соответствует требованиям Бюджетного кодекса Российской Федерации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Положению о бюджетном процессе в Вытегорском муниципальном районе, утвержденному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решени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Представительного Собрания Вытегорского муниципального р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айона от 1 ноября 2013 года № 6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(с последующими имениями).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рекомендуется к рассмотрению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Представительного Собрания Вытег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орского муниципального район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12.07.2023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признании утратившими силу и отмене отдельных решений Представительного Собрания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ект решения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«О признании утратившими силу и отмене отдельных решений Представительного Собрания»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 требованиям Бюджетного кодекса Российской Федерации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Уставу Вытегорского муниципального района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</w:p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рекомендуется к рассмотрению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</w:p>
        </w:tc>
      </w:tr>
    </w:tbl>
    <w:p>
      <w:pPr>
        <w:jc w:val="center"/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sz w:val="20"/>
          <w:szCs w:val="20"/>
        </w:rPr>
      </w:r>
      <w:r>
        <w:rPr>
          <w:sz w:val="20"/>
          <w:szCs w:val="20"/>
        </w:rPr>
      </w:r>
    </w:p>
    <w:sectPr>
      <w:footnotePr/>
      <w:endnotePr/>
      <w:type w:val="nextPage"/>
      <w:pgSz w:w="16838" w:h="11905" w:orient="landscape"/>
      <w:pgMar w:top="1418" w:right="851" w:bottom="851" w:left="85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4"/>
    <w:next w:val="834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basedOn w:val="835"/>
    <w:link w:val="658"/>
    <w:uiPriority w:val="9"/>
    <w:rPr>
      <w:rFonts w:ascii="Arial" w:hAnsi="Arial" w:eastAsia="Arial" w:cs="Arial"/>
      <w:sz w:val="40"/>
      <w:szCs w:val="40"/>
    </w:rPr>
  </w:style>
  <w:style w:type="paragraph" w:styleId="660">
    <w:name w:val="Heading 2"/>
    <w:basedOn w:val="834"/>
    <w:next w:val="834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1">
    <w:name w:val="Heading 2 Char"/>
    <w:basedOn w:val="835"/>
    <w:link w:val="660"/>
    <w:uiPriority w:val="9"/>
    <w:rPr>
      <w:rFonts w:ascii="Arial" w:hAnsi="Arial" w:eastAsia="Arial" w:cs="Arial"/>
      <w:sz w:val="34"/>
    </w:rPr>
  </w:style>
  <w:style w:type="paragraph" w:styleId="662">
    <w:name w:val="Heading 3"/>
    <w:basedOn w:val="834"/>
    <w:next w:val="834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basedOn w:val="835"/>
    <w:link w:val="662"/>
    <w:uiPriority w:val="9"/>
    <w:rPr>
      <w:rFonts w:ascii="Arial" w:hAnsi="Arial" w:eastAsia="Arial" w:cs="Arial"/>
      <w:sz w:val="30"/>
      <w:szCs w:val="30"/>
    </w:rPr>
  </w:style>
  <w:style w:type="paragraph" w:styleId="664">
    <w:name w:val="Heading 4"/>
    <w:basedOn w:val="834"/>
    <w:next w:val="834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basedOn w:val="835"/>
    <w:link w:val="664"/>
    <w:uiPriority w:val="9"/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4"/>
    <w:next w:val="834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basedOn w:val="835"/>
    <w:link w:val="666"/>
    <w:uiPriority w:val="9"/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4"/>
    <w:next w:val="834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basedOn w:val="835"/>
    <w:link w:val="668"/>
    <w:uiPriority w:val="9"/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4"/>
    <w:next w:val="834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basedOn w:val="835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4"/>
    <w:next w:val="834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basedOn w:val="835"/>
    <w:link w:val="672"/>
    <w:uiPriority w:val="9"/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4"/>
    <w:next w:val="834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basedOn w:val="835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No Spacing"/>
    <w:uiPriority w:val="1"/>
    <w:qFormat/>
    <w:pPr>
      <w:spacing w:before="0" w:after="0" w:line="240" w:lineRule="auto"/>
    </w:pPr>
  </w:style>
  <w:style w:type="paragraph" w:styleId="677">
    <w:name w:val="Title"/>
    <w:basedOn w:val="834"/>
    <w:next w:val="834"/>
    <w:link w:val="67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8">
    <w:name w:val="Title Char"/>
    <w:basedOn w:val="835"/>
    <w:link w:val="677"/>
    <w:uiPriority w:val="10"/>
    <w:rPr>
      <w:sz w:val="48"/>
      <w:szCs w:val="48"/>
    </w:rPr>
  </w:style>
  <w:style w:type="paragraph" w:styleId="679">
    <w:name w:val="Subtitle"/>
    <w:basedOn w:val="834"/>
    <w:next w:val="834"/>
    <w:link w:val="680"/>
    <w:uiPriority w:val="11"/>
    <w:qFormat/>
    <w:pPr>
      <w:spacing w:before="200" w:after="200"/>
    </w:pPr>
    <w:rPr>
      <w:sz w:val="24"/>
      <w:szCs w:val="24"/>
    </w:rPr>
  </w:style>
  <w:style w:type="character" w:styleId="680">
    <w:name w:val="Subtitle Char"/>
    <w:basedOn w:val="835"/>
    <w:link w:val="679"/>
    <w:uiPriority w:val="11"/>
    <w:rPr>
      <w:sz w:val="24"/>
      <w:szCs w:val="24"/>
    </w:rPr>
  </w:style>
  <w:style w:type="paragraph" w:styleId="681">
    <w:name w:val="Quote"/>
    <w:basedOn w:val="834"/>
    <w:next w:val="834"/>
    <w:link w:val="682"/>
    <w:uiPriority w:val="29"/>
    <w:qFormat/>
    <w:pPr>
      <w:ind w:left="720" w:right="720"/>
    </w:pPr>
    <w:rPr>
      <w:i/>
    </w:rPr>
  </w:style>
  <w:style w:type="character" w:styleId="682">
    <w:name w:val="Quote Char"/>
    <w:link w:val="681"/>
    <w:uiPriority w:val="29"/>
    <w:rPr>
      <w:i/>
    </w:rPr>
  </w:style>
  <w:style w:type="paragraph" w:styleId="683">
    <w:name w:val="Intense Quote"/>
    <w:basedOn w:val="834"/>
    <w:next w:val="834"/>
    <w:link w:val="68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>
    <w:name w:val="Intense Quote Char"/>
    <w:link w:val="683"/>
    <w:uiPriority w:val="30"/>
    <w:rPr>
      <w:i/>
    </w:rPr>
  </w:style>
  <w:style w:type="paragraph" w:styleId="685">
    <w:name w:val="Header"/>
    <w:basedOn w:val="834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>
    <w:name w:val="Header Char"/>
    <w:basedOn w:val="835"/>
    <w:link w:val="685"/>
    <w:uiPriority w:val="99"/>
  </w:style>
  <w:style w:type="paragraph" w:styleId="687">
    <w:name w:val="Footer"/>
    <w:basedOn w:val="834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>
    <w:name w:val="Footer Char"/>
    <w:basedOn w:val="835"/>
    <w:link w:val="687"/>
    <w:uiPriority w:val="99"/>
  </w:style>
  <w:style w:type="paragraph" w:styleId="689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0">
    <w:name w:val="Caption Char"/>
    <w:basedOn w:val="689"/>
    <w:link w:val="687"/>
    <w:uiPriority w:val="99"/>
  </w:style>
  <w:style w:type="table" w:styleId="691">
    <w:name w:val="Table Grid Light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 &amp; 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Bordered &amp; 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Bordered &amp; 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Bordered &amp; 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Bordered &amp; 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Bordered &amp; 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basedOn w:val="835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basedOn w:val="835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</w:style>
  <w:style w:type="character" w:styleId="835" w:default="1">
    <w:name w:val="Default Paragraph Font"/>
    <w:uiPriority w:val="1"/>
    <w:semiHidden/>
    <w:unhideWhenUsed/>
  </w:style>
  <w:style w:type="table" w:styleId="8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paragraph" w:styleId="838">
    <w:name w:val="List Paragraph"/>
    <w:basedOn w:val="834"/>
    <w:uiPriority w:val="34"/>
    <w:qFormat/>
    <w:pPr>
      <w:contextualSpacing/>
      <w:ind w:left="720"/>
    </w:pPr>
  </w:style>
  <w:style w:type="paragraph" w:styleId="839" w:customStyle="1">
    <w:name w:val="ConsPlusTitle"/>
    <w:uiPriority w:val="99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840" w:customStyle="1">
    <w:name w:val="ConsPlusNormal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table" w:styleId="841">
    <w:name w:val="Table Grid"/>
    <w:basedOn w:val="83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2">
    <w:name w:val="Balloon Text"/>
    <w:basedOn w:val="834"/>
    <w:link w:val="84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3" w:customStyle="1">
    <w:name w:val="Текст выноски Знак"/>
    <w:basedOn w:val="835"/>
    <w:link w:val="84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revision>7</cp:revision>
  <dcterms:created xsi:type="dcterms:W3CDTF">2023-03-01T11:37:00Z</dcterms:created>
  <dcterms:modified xsi:type="dcterms:W3CDTF">2024-02-06T07:38:55Z</dcterms:modified>
</cp:coreProperties>
</file>