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A8" w:rsidRDefault="006A3D89">
      <w:pPr>
        <w:jc w:val="center"/>
        <w:rPr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 wp14:anchorId="1B8D5551" wp14:editId="180EC3E5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528A8" w:rsidRDefault="003D1C0E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528A8" w:rsidRDefault="003D1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528A8" w:rsidRDefault="003D1C0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Алмозерское </w:t>
      </w:r>
    </w:p>
    <w:p w:rsidR="002528A8" w:rsidRDefault="00073C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D1C0E">
        <w:rPr>
          <w:rFonts w:ascii="Times New Roman" w:hAnsi="Times New Roman"/>
          <w:sz w:val="28"/>
          <w:szCs w:val="28"/>
        </w:rPr>
        <w:t>.</w:t>
      </w:r>
      <w:r w:rsidR="008516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>.202</w:t>
      </w:r>
      <w:r w:rsidR="008516E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2528A8" w:rsidRDefault="003D1C0E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Алмозерское «О внесении изменений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 xml:space="preserve">14.12.2023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Алмозерское и Представительным Собранием Вытегорского муниципального района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   </w:t>
      </w:r>
      <w:r>
        <w:rPr>
          <w:sz w:val="28"/>
          <w:szCs w:val="28"/>
        </w:rPr>
        <w:t xml:space="preserve">       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>14.12.2023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Алмозерское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51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51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 </w:t>
      </w:r>
    </w:p>
    <w:p w:rsidR="00073C2C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C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редлагается </w:t>
      </w:r>
      <w:r w:rsidR="00073C2C" w:rsidRPr="00FA688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73C2C">
        <w:rPr>
          <w:rFonts w:ascii="Times New Roman" w:hAnsi="Times New Roman"/>
          <w:sz w:val="28"/>
          <w:szCs w:val="28"/>
        </w:rPr>
        <w:t xml:space="preserve">доходную и расходную части, дефицит </w:t>
      </w:r>
      <w:r w:rsidR="00073C2C" w:rsidRPr="00FA6888">
        <w:rPr>
          <w:rFonts w:ascii="Times New Roman" w:hAnsi="Times New Roman"/>
          <w:sz w:val="28"/>
          <w:szCs w:val="28"/>
        </w:rPr>
        <w:t>бюджета поселения</w:t>
      </w:r>
      <w:r w:rsidR="00073C2C">
        <w:rPr>
          <w:rFonts w:ascii="Times New Roman" w:hAnsi="Times New Roman"/>
          <w:sz w:val="28"/>
          <w:szCs w:val="28"/>
        </w:rPr>
        <w:t xml:space="preserve"> н</w:t>
      </w:r>
      <w:r w:rsidR="00073C2C" w:rsidRPr="00FA6888">
        <w:rPr>
          <w:rFonts w:ascii="Times New Roman" w:hAnsi="Times New Roman"/>
          <w:sz w:val="28"/>
          <w:szCs w:val="28"/>
        </w:rPr>
        <w:t>а 2024 год</w:t>
      </w:r>
      <w:r w:rsidR="00073C2C">
        <w:rPr>
          <w:rFonts w:ascii="Times New Roman" w:hAnsi="Times New Roman"/>
          <w:sz w:val="28"/>
          <w:szCs w:val="28"/>
        </w:rPr>
        <w:t xml:space="preserve">, </w:t>
      </w:r>
      <w:r w:rsidR="00073C2C" w:rsidRPr="00FA6888">
        <w:rPr>
          <w:rFonts w:ascii="Times New Roman" w:hAnsi="Times New Roman"/>
          <w:sz w:val="28"/>
          <w:szCs w:val="28"/>
        </w:rPr>
        <w:t xml:space="preserve">в </w:t>
      </w:r>
      <w:r w:rsidR="00073C2C">
        <w:rPr>
          <w:rFonts w:ascii="Times New Roman" w:hAnsi="Times New Roman"/>
          <w:sz w:val="28"/>
          <w:szCs w:val="28"/>
        </w:rPr>
        <w:t xml:space="preserve">доходную и расходную части </w:t>
      </w:r>
      <w:r w:rsidR="00073C2C" w:rsidRPr="00FA6888">
        <w:rPr>
          <w:rFonts w:ascii="Times New Roman" w:hAnsi="Times New Roman"/>
          <w:sz w:val="28"/>
          <w:szCs w:val="28"/>
        </w:rPr>
        <w:t xml:space="preserve">бюджета </w:t>
      </w:r>
      <w:r w:rsidR="00073C2C">
        <w:rPr>
          <w:rFonts w:ascii="Times New Roman" w:hAnsi="Times New Roman"/>
          <w:sz w:val="28"/>
          <w:szCs w:val="28"/>
        </w:rPr>
        <w:t xml:space="preserve">на </w:t>
      </w:r>
      <w:r w:rsidR="00073C2C" w:rsidRPr="00FA6888">
        <w:rPr>
          <w:rFonts w:ascii="Times New Roman" w:hAnsi="Times New Roman"/>
          <w:sz w:val="28"/>
          <w:szCs w:val="28"/>
        </w:rPr>
        <w:t>202</w:t>
      </w:r>
      <w:r w:rsidR="00073C2C">
        <w:rPr>
          <w:rFonts w:ascii="Times New Roman" w:hAnsi="Times New Roman"/>
          <w:sz w:val="28"/>
          <w:szCs w:val="28"/>
        </w:rPr>
        <w:t>5 и 2026</w:t>
      </w:r>
      <w:r w:rsidR="00073C2C" w:rsidRPr="00FA6888">
        <w:rPr>
          <w:rFonts w:ascii="Times New Roman" w:hAnsi="Times New Roman"/>
          <w:sz w:val="28"/>
          <w:szCs w:val="28"/>
        </w:rPr>
        <w:t xml:space="preserve"> год</w:t>
      </w:r>
      <w:r w:rsidR="00073C2C">
        <w:rPr>
          <w:rFonts w:ascii="Times New Roman" w:hAnsi="Times New Roman"/>
          <w:sz w:val="28"/>
          <w:szCs w:val="28"/>
        </w:rPr>
        <w:t xml:space="preserve">ы. </w:t>
      </w:r>
    </w:p>
    <w:p w:rsidR="002528A8" w:rsidRDefault="0007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1C0E">
        <w:rPr>
          <w:rFonts w:ascii="Times New Roman" w:hAnsi="Times New Roman"/>
          <w:sz w:val="28"/>
          <w:szCs w:val="28"/>
        </w:rPr>
        <w:t>Изменения в показатели бюджета поселения на 202</w:t>
      </w:r>
      <w:r w:rsidR="008516E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440A6B" w:rsidRPr="00440A6B" w:rsidRDefault="00440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2528A8" w:rsidRPr="00AA6ABE">
        <w:trPr>
          <w:trHeight w:val="541"/>
        </w:trPr>
        <w:tc>
          <w:tcPr>
            <w:tcW w:w="3626" w:type="dxa"/>
            <w:noWrap/>
          </w:tcPr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528A8" w:rsidRPr="00AA6ABE" w:rsidRDefault="003D1C0E" w:rsidP="00851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14</w:t>
            </w:r>
            <w:r w:rsidRPr="00AA6ABE">
              <w:rPr>
                <w:rFonts w:ascii="Times New Roman" w:hAnsi="Times New Roman"/>
                <w:sz w:val="18"/>
                <w:szCs w:val="18"/>
              </w:rPr>
              <w:t>.12.2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3</w:t>
            </w:r>
            <w:r w:rsidRPr="00AA6ABE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58</w:t>
            </w:r>
            <w:r w:rsidR="00AA6ABE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7" w:type="dxa"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073C2C" w:rsidRPr="00AA6ABE" w:rsidTr="00156F8A">
        <w:trPr>
          <w:trHeight w:val="300"/>
        </w:trPr>
        <w:tc>
          <w:tcPr>
            <w:tcW w:w="3626" w:type="dxa"/>
            <w:noWrap/>
          </w:tcPr>
          <w:p w:rsidR="00073C2C" w:rsidRPr="00AA6ABE" w:rsidRDefault="00073C2C" w:rsidP="00073C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7469,2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7996,2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AA6ABE" w:rsidP="00073C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073C2C"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AA6ABE" w:rsidP="00073C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073C2C"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7,1%</w:t>
            </w:r>
          </w:p>
        </w:tc>
      </w:tr>
      <w:tr w:rsidR="00073C2C" w:rsidRPr="00AA6ABE" w:rsidTr="00156F8A">
        <w:trPr>
          <w:trHeight w:val="300"/>
        </w:trPr>
        <w:tc>
          <w:tcPr>
            <w:tcW w:w="3626" w:type="dxa"/>
            <w:noWrap/>
          </w:tcPr>
          <w:p w:rsidR="00073C2C" w:rsidRPr="00AA6ABE" w:rsidRDefault="00073C2C" w:rsidP="00073C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073C2C" w:rsidRPr="00AA6ABE" w:rsidTr="00156F8A">
        <w:trPr>
          <w:trHeight w:val="300"/>
        </w:trPr>
        <w:tc>
          <w:tcPr>
            <w:tcW w:w="3626" w:type="dxa"/>
            <w:noWrap/>
          </w:tcPr>
          <w:p w:rsidR="00073C2C" w:rsidRPr="00AA6ABE" w:rsidRDefault="00073C2C" w:rsidP="00073C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7069,2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073C2C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7596,2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AA6ABE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073C2C"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C2C" w:rsidRPr="00AA6ABE" w:rsidRDefault="00AA6ABE" w:rsidP="00073C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073C2C" w:rsidRPr="00AA6ABE">
              <w:rPr>
                <w:rFonts w:ascii="Times New Roman" w:hAnsi="Times New Roman"/>
                <w:color w:val="000000"/>
                <w:sz w:val="18"/>
                <w:szCs w:val="18"/>
              </w:rPr>
              <w:t>7,5%</w:t>
            </w:r>
          </w:p>
        </w:tc>
      </w:tr>
      <w:tr w:rsidR="002528A8" w:rsidRPr="00AA6ABE" w:rsidTr="00AA6ABE">
        <w:trPr>
          <w:trHeight w:val="413"/>
        </w:trPr>
        <w:tc>
          <w:tcPr>
            <w:tcW w:w="3626" w:type="dxa"/>
            <w:noWrap/>
          </w:tcPr>
          <w:p w:rsidR="002528A8" w:rsidRPr="00AA6ABE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AA6ABE" w:rsidRDefault="00AA6ABE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7542,7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AA6ABE" w:rsidRDefault="00AA6ABE" w:rsidP="00AA6A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8161,0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AA6ABE" w:rsidRDefault="008516E3" w:rsidP="00AA6A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618,3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AA6ABE" w:rsidRDefault="008516E3" w:rsidP="00AA6A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AA6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8,2%</w:t>
            </w:r>
          </w:p>
        </w:tc>
      </w:tr>
      <w:tr w:rsidR="002528A8" w:rsidRPr="00AA6ABE">
        <w:trPr>
          <w:trHeight w:val="300"/>
        </w:trPr>
        <w:tc>
          <w:tcPr>
            <w:tcW w:w="3626" w:type="dxa"/>
            <w:noWrap/>
          </w:tcPr>
          <w:p w:rsidR="002528A8" w:rsidRPr="00AA6ABE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2528A8" w:rsidRPr="00AA6ABE" w:rsidRDefault="00AA6ABE" w:rsidP="00AA6A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-73,5</w:t>
            </w:r>
          </w:p>
        </w:tc>
        <w:tc>
          <w:tcPr>
            <w:tcW w:w="1677" w:type="dxa"/>
            <w:noWrap/>
          </w:tcPr>
          <w:p w:rsidR="002528A8" w:rsidRPr="00AA6ABE" w:rsidRDefault="008516E3" w:rsidP="00AA6A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AA6ABE">
              <w:rPr>
                <w:rFonts w:ascii="Times New Roman" w:hAnsi="Times New Roman"/>
                <w:b/>
                <w:sz w:val="18"/>
                <w:szCs w:val="18"/>
              </w:rPr>
              <w:t>164,8</w:t>
            </w:r>
          </w:p>
        </w:tc>
        <w:tc>
          <w:tcPr>
            <w:tcW w:w="1259" w:type="dxa"/>
            <w:noWrap/>
          </w:tcPr>
          <w:p w:rsidR="002528A8" w:rsidRPr="00AA6ABE" w:rsidRDefault="00563507" w:rsidP="00AA6A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ABE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AA6AB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1106" w:type="dxa"/>
            <w:noWrap/>
          </w:tcPr>
          <w:p w:rsidR="002528A8" w:rsidRPr="00AA6ABE" w:rsidRDefault="00252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A6ABE" w:rsidRPr="00A25099" w:rsidRDefault="003D1C0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ABE" w:rsidRPr="00A25099"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увеличится на </w:t>
      </w:r>
      <w:r w:rsidR="00AA6ABE">
        <w:rPr>
          <w:rFonts w:ascii="Times New Roman" w:hAnsi="Times New Roman"/>
          <w:sz w:val="28"/>
          <w:szCs w:val="28"/>
        </w:rPr>
        <w:t xml:space="preserve">527,0 </w:t>
      </w:r>
      <w:r w:rsidR="00AA6ABE" w:rsidRPr="00A25099">
        <w:rPr>
          <w:rFonts w:ascii="Times New Roman" w:hAnsi="Times New Roman"/>
          <w:sz w:val="28"/>
          <w:szCs w:val="28"/>
        </w:rPr>
        <w:t>тыс. рублей (+</w:t>
      </w:r>
      <w:r w:rsidR="00AA6ABE">
        <w:rPr>
          <w:rFonts w:ascii="Times New Roman" w:hAnsi="Times New Roman"/>
          <w:sz w:val="28"/>
          <w:szCs w:val="28"/>
        </w:rPr>
        <w:t>7,1</w:t>
      </w:r>
      <w:r w:rsidR="00AA6ABE" w:rsidRPr="00A25099">
        <w:rPr>
          <w:rFonts w:ascii="Times New Roman" w:hAnsi="Times New Roman"/>
          <w:sz w:val="28"/>
          <w:szCs w:val="28"/>
        </w:rPr>
        <w:t xml:space="preserve"> %) и составит </w:t>
      </w:r>
      <w:r w:rsidR="00AA6ABE">
        <w:rPr>
          <w:rFonts w:ascii="Times New Roman" w:hAnsi="Times New Roman"/>
          <w:sz w:val="28"/>
          <w:szCs w:val="28"/>
        </w:rPr>
        <w:t>7996,2</w:t>
      </w:r>
      <w:r w:rsidR="00AA6ABE" w:rsidRPr="00A25099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AB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99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400,0</w:t>
      </w:r>
      <w:r w:rsidRPr="00A25099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527,0</w:t>
      </w:r>
      <w:r w:rsidRPr="00A25099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>7,5 %</w:t>
      </w:r>
      <w:r w:rsidRPr="00A25099">
        <w:rPr>
          <w:rFonts w:ascii="Times New Roman" w:hAnsi="Times New Roman"/>
          <w:sz w:val="28"/>
          <w:szCs w:val="28"/>
        </w:rPr>
        <w:t>):</w:t>
      </w:r>
    </w:p>
    <w:p w:rsidR="00AA6AB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общий объем дотаций увеличится на 215,0 тыс. рублей за счет дополнительного поступления</w:t>
      </w:r>
      <w:r w:rsidRPr="00A25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района дотаций на поддержку мер </w:t>
      </w:r>
      <w:r>
        <w:rPr>
          <w:rFonts w:ascii="Times New Roman" w:hAnsi="Times New Roman"/>
          <w:sz w:val="28"/>
          <w:szCs w:val="28"/>
        </w:rPr>
        <w:lastRenderedPageBreak/>
        <w:t>по обеспечению сбалансированности бюджета и составит 5896,5 тыс. рублей (доля в общем объеме доходов 73,7 %)</w:t>
      </w:r>
      <w:r w:rsidRPr="00A25099">
        <w:rPr>
          <w:rFonts w:ascii="Times New Roman" w:hAnsi="Times New Roman"/>
          <w:sz w:val="28"/>
          <w:szCs w:val="28"/>
        </w:rPr>
        <w:t>;</w:t>
      </w:r>
    </w:p>
    <w:p w:rsidR="00AA6AB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общий объем субсидий увеличится на 291,0 тыс. рублей за счет дополнительного поступления из областного бюджета прочих субсидий на обустройство систем уличного освещения (утверждены законом области от 28.03.2024 №5574-ОЗ «О внесении изменений в закон области «Об областном бюджете на 2024 год и плановый период 2025 и 2026 годов»)</w:t>
      </w:r>
      <w:r w:rsidRPr="00AA6ABE">
        <w:rPr>
          <w:rFonts w:ascii="Times New Roman" w:hAnsi="Times New Roman"/>
          <w:sz w:val="28"/>
          <w:szCs w:val="28"/>
        </w:rPr>
        <w:t>;</w:t>
      </w:r>
    </w:p>
    <w:p w:rsidR="00AA6ABE" w:rsidRPr="00A25099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утверждаются безвозмездные поступления от негосударственных организаций в объеме 21,0 тыс. рублей </w:t>
      </w:r>
      <w:r w:rsidRPr="00A25099">
        <w:rPr>
          <w:rFonts w:ascii="Times New Roman" w:hAnsi="Times New Roman"/>
          <w:sz w:val="28"/>
          <w:szCs w:val="28"/>
        </w:rPr>
        <w:t xml:space="preserve">(финансовая помощь от </w:t>
      </w:r>
      <w:r>
        <w:rPr>
          <w:rFonts w:ascii="Times New Roman" w:hAnsi="Times New Roman"/>
          <w:sz w:val="28"/>
          <w:szCs w:val="28"/>
        </w:rPr>
        <w:t xml:space="preserve">АО </w:t>
      </w:r>
      <w:r w:rsidRPr="00A25099">
        <w:rPr>
          <w:rFonts w:ascii="Times New Roman" w:hAnsi="Times New Roman"/>
          <w:sz w:val="28"/>
          <w:szCs w:val="28"/>
        </w:rPr>
        <w:t>«Белый Ручей»).</w:t>
      </w:r>
    </w:p>
    <w:p w:rsidR="00BC0E5B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066C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7596,2</w:t>
      </w:r>
      <w:r w:rsidRPr="00C8066C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Их д</w:t>
      </w:r>
      <w:r w:rsidRPr="00C8066C">
        <w:rPr>
          <w:rFonts w:ascii="Times New Roman" w:hAnsi="Times New Roman"/>
          <w:sz w:val="28"/>
          <w:szCs w:val="28"/>
        </w:rPr>
        <w:t xml:space="preserve">оля в общем объеме доходов поселения – </w:t>
      </w:r>
      <w:r w:rsidR="00BC0E5B">
        <w:rPr>
          <w:rFonts w:ascii="Times New Roman" w:hAnsi="Times New Roman"/>
          <w:sz w:val="28"/>
          <w:szCs w:val="28"/>
        </w:rPr>
        <w:t xml:space="preserve">95,0 </w:t>
      </w:r>
      <w:r w:rsidRPr="00C8066C">
        <w:rPr>
          <w:rFonts w:ascii="Times New Roman" w:hAnsi="Times New Roman"/>
          <w:sz w:val="28"/>
          <w:szCs w:val="28"/>
        </w:rPr>
        <w:t xml:space="preserve">%, доля налоговых и неналоговых доходов – </w:t>
      </w:r>
      <w:r w:rsidR="00BC0E5B">
        <w:rPr>
          <w:rFonts w:ascii="Times New Roman" w:hAnsi="Times New Roman"/>
          <w:sz w:val="28"/>
          <w:szCs w:val="28"/>
        </w:rPr>
        <w:t>5,0</w:t>
      </w:r>
      <w:r w:rsidRPr="00C8066C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C0E5B" w:rsidRDefault="00BC0E5B" w:rsidP="00BC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066C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>618,3</w:t>
      </w:r>
      <w:r w:rsidRPr="00C8066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(+8,2 %)</w:t>
      </w:r>
      <w:r w:rsidRPr="00C8066C">
        <w:rPr>
          <w:rFonts w:ascii="Times New Roman" w:hAnsi="Times New Roman"/>
          <w:sz w:val="28"/>
          <w:szCs w:val="28"/>
        </w:rPr>
        <w:t xml:space="preserve"> за счет увеличения доходной части на </w:t>
      </w:r>
      <w:r>
        <w:rPr>
          <w:rFonts w:ascii="Times New Roman" w:hAnsi="Times New Roman"/>
          <w:sz w:val="28"/>
          <w:szCs w:val="28"/>
        </w:rPr>
        <w:t>527,0</w:t>
      </w:r>
      <w:r w:rsidRPr="00C8066C">
        <w:rPr>
          <w:rFonts w:ascii="Times New Roman" w:hAnsi="Times New Roman"/>
          <w:sz w:val="28"/>
          <w:szCs w:val="28"/>
        </w:rPr>
        <w:t xml:space="preserve"> тыс. рублей и средств на счетах бюджета поселения по состоянию на 01.01.2024 года – </w:t>
      </w:r>
      <w:r>
        <w:rPr>
          <w:rFonts w:ascii="Times New Roman" w:hAnsi="Times New Roman"/>
          <w:sz w:val="28"/>
          <w:szCs w:val="28"/>
        </w:rPr>
        <w:t>91,3 т</w:t>
      </w:r>
      <w:r w:rsidRPr="00C8066C">
        <w:rPr>
          <w:rFonts w:ascii="Times New Roman" w:hAnsi="Times New Roman"/>
          <w:sz w:val="28"/>
          <w:szCs w:val="28"/>
        </w:rPr>
        <w:t xml:space="preserve">ыс. рублей. </w:t>
      </w:r>
      <w:r>
        <w:rPr>
          <w:rFonts w:ascii="Times New Roman" w:hAnsi="Times New Roman"/>
          <w:sz w:val="28"/>
          <w:szCs w:val="28"/>
        </w:rPr>
        <w:t>Общий объем расходов составит 8161,0 тыс. рублей.</w:t>
      </w:r>
      <w:r w:rsidRPr="00C8066C">
        <w:rPr>
          <w:rFonts w:ascii="Times New Roman" w:hAnsi="Times New Roman"/>
          <w:sz w:val="28"/>
          <w:szCs w:val="28"/>
        </w:rPr>
        <w:t xml:space="preserve">   </w:t>
      </w:r>
    </w:p>
    <w:p w:rsidR="00BC0E5B" w:rsidRPr="00C8066C" w:rsidRDefault="00BC0E5B" w:rsidP="00BC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066C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BC0E5B" w:rsidRDefault="00BC0E5B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поступившие</w:t>
      </w:r>
      <w:r w:rsidR="008C7917">
        <w:rPr>
          <w:rFonts w:ascii="Times New Roman" w:hAnsi="Times New Roman"/>
          <w:sz w:val="28"/>
          <w:szCs w:val="28"/>
        </w:rPr>
        <w:t xml:space="preserve"> из областного бюджета субсидии в сумме 291,0 тыс. рублей будут </w:t>
      </w:r>
      <w:r>
        <w:rPr>
          <w:rFonts w:ascii="Times New Roman" w:hAnsi="Times New Roman"/>
          <w:sz w:val="28"/>
          <w:szCs w:val="28"/>
        </w:rPr>
        <w:t>направлены</w:t>
      </w:r>
      <w:r w:rsidR="008C7917">
        <w:rPr>
          <w:rFonts w:ascii="Times New Roman" w:hAnsi="Times New Roman"/>
          <w:sz w:val="28"/>
          <w:szCs w:val="28"/>
        </w:rPr>
        <w:t xml:space="preserve"> на финансирование мероприятий по обустройству систем уличного освещения. Расходы запланированы </w:t>
      </w:r>
      <w:r w:rsidR="008C7917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="008C7917"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="008C7917">
        <w:rPr>
          <w:rFonts w:ascii="Times New Roman" w:hAnsi="Times New Roman"/>
          <w:sz w:val="28"/>
          <w:szCs w:val="28"/>
          <w:lang w:eastAsia="ru-RU"/>
        </w:rPr>
        <w:t xml:space="preserve"> раздела 05 «Жилищно –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7917">
        <w:rPr>
          <w:rFonts w:ascii="Times New Roman" w:hAnsi="Times New Roman"/>
          <w:sz w:val="28"/>
          <w:szCs w:val="28"/>
        </w:rPr>
        <w:t xml:space="preserve">в рамках Основного мероприятия «Организация уличного освещения» муниципальной программы </w:t>
      </w:r>
      <w:r w:rsidR="008C7917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 Алмозерское на 2021-2025 годы».</w:t>
      </w:r>
    </w:p>
    <w:p w:rsidR="008C7917" w:rsidRDefault="008C7917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счет дополнительно поступивших дотации в сумме 215,0 тыс. рублей, </w:t>
      </w:r>
      <w:r w:rsidRPr="00C8066C">
        <w:rPr>
          <w:rFonts w:ascii="Times New Roman" w:hAnsi="Times New Roman"/>
          <w:sz w:val="28"/>
          <w:szCs w:val="28"/>
        </w:rPr>
        <w:t>средств на счетах бюджета поселения по состоянию на 01.01.2024 года</w:t>
      </w:r>
      <w:r>
        <w:rPr>
          <w:rFonts w:ascii="Times New Roman" w:hAnsi="Times New Roman"/>
          <w:sz w:val="28"/>
          <w:szCs w:val="28"/>
        </w:rPr>
        <w:t xml:space="preserve"> в сумме 91,3 т</w:t>
      </w:r>
      <w:r w:rsidRPr="00C8066C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 счет уменьшения расходов </w:t>
      </w:r>
      <w:r w:rsidR="00006702">
        <w:rPr>
          <w:rFonts w:ascii="Times New Roman" w:hAnsi="Times New Roman"/>
          <w:sz w:val="28"/>
          <w:szCs w:val="28"/>
          <w:lang w:eastAsia="ru-RU"/>
        </w:rPr>
        <w:t>на выплаты работникам, не являющихся муниципальными служащими, на 69,2 тыс. рублей предусмотрены следующие изменения в расходной части бюджета</w:t>
      </w:r>
      <w:r w:rsidR="00006702" w:rsidRPr="00006702">
        <w:rPr>
          <w:rFonts w:ascii="Times New Roman" w:hAnsi="Times New Roman"/>
          <w:sz w:val="28"/>
          <w:szCs w:val="28"/>
          <w:lang w:eastAsia="ru-RU"/>
        </w:rPr>
        <w:t>:</w:t>
      </w:r>
    </w:p>
    <w:p w:rsidR="00006702" w:rsidRPr="00006702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251,5 тыс. рублей увеличены расходы на обеспечение функций органов местного самоуправления (подраздел </w:t>
      </w:r>
      <w:r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администрации»), </w:t>
      </w:r>
      <w:r w:rsidRPr="00006702">
        <w:rPr>
          <w:rFonts w:ascii="Times New Roman" w:hAnsi="Times New Roman"/>
          <w:sz w:val="28"/>
          <w:szCs w:val="28"/>
        </w:rPr>
        <w:t xml:space="preserve">в том числе: на </w:t>
      </w:r>
      <w:r w:rsidRPr="00006702">
        <w:rPr>
          <w:rFonts w:ascii="Times New Roman" w:hAnsi="Times New Roman"/>
          <w:sz w:val="28"/>
          <w:szCs w:val="28"/>
          <w:lang w:eastAsia="ru-RU"/>
        </w:rPr>
        <w:t>143</w:t>
      </w:r>
      <w:r>
        <w:rPr>
          <w:rFonts w:ascii="Times New Roman" w:hAnsi="Times New Roman"/>
          <w:sz w:val="28"/>
          <w:szCs w:val="28"/>
          <w:lang w:eastAsia="ru-RU"/>
        </w:rPr>
        <w:t>,5 тыс. рублей увеличены расходы на выплаты муниципальным служащим, на 108,0 тыс. рублей увеличены расходы на закупки для нужд муниципальных органов</w:t>
      </w:r>
      <w:r w:rsidRPr="00006702">
        <w:rPr>
          <w:rFonts w:ascii="Times New Roman" w:hAnsi="Times New Roman"/>
          <w:sz w:val="28"/>
          <w:szCs w:val="28"/>
          <w:lang w:eastAsia="ru-RU"/>
        </w:rPr>
        <w:t>;</w:t>
      </w:r>
    </w:p>
    <w:p w:rsidR="00006702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115,0 тыс. рублей увеличены расходы на выполнение других обязательств государства (выполнение кадастровых работ)</w:t>
      </w:r>
      <w:r w:rsidR="009456A9" w:rsidRPr="00945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6A9">
        <w:rPr>
          <w:rFonts w:ascii="Times New Roman" w:hAnsi="Times New Roman"/>
          <w:sz w:val="28"/>
          <w:szCs w:val="28"/>
          <w:lang w:eastAsia="ru-RU"/>
        </w:rPr>
        <w:t xml:space="preserve">(подраздел </w:t>
      </w:r>
      <w:r w:rsidR="009456A9" w:rsidRPr="00D20325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</w:t>
      </w:r>
      <w:r w:rsidR="009456A9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006702">
        <w:rPr>
          <w:rFonts w:ascii="Times New Roman" w:hAnsi="Times New Roman"/>
          <w:sz w:val="28"/>
          <w:szCs w:val="28"/>
          <w:lang w:eastAsia="ru-RU"/>
        </w:rPr>
        <w:t>;</w:t>
      </w:r>
    </w:p>
    <w:p w:rsidR="00BC0E5B" w:rsidRPr="009456A9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- 9,0 тыс. рублей</w:t>
      </w:r>
      <w:r w:rsidR="00D00D43">
        <w:rPr>
          <w:rFonts w:ascii="Times New Roman" w:hAnsi="Times New Roman"/>
          <w:sz w:val="28"/>
          <w:szCs w:val="28"/>
          <w:lang w:eastAsia="ru-RU"/>
        </w:rPr>
        <w:t xml:space="preserve"> (3 %  )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утверждены на софинансирование мероприятий </w:t>
      </w:r>
      <w:r w:rsidRPr="00006702">
        <w:rPr>
          <w:rFonts w:ascii="Times New Roman" w:hAnsi="Times New Roman"/>
          <w:sz w:val="28"/>
          <w:szCs w:val="28"/>
        </w:rPr>
        <w:t>по обустройству систем уличного освещения</w:t>
      </w:r>
      <w:r w:rsidR="009456A9">
        <w:rPr>
          <w:rFonts w:ascii="Times New Roman" w:hAnsi="Times New Roman"/>
          <w:sz w:val="28"/>
          <w:szCs w:val="28"/>
        </w:rPr>
        <w:t xml:space="preserve"> (подраздел </w:t>
      </w:r>
      <w:r w:rsidR="009456A9"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="009456A9" w:rsidRPr="009456A9">
        <w:rPr>
          <w:rFonts w:ascii="Times New Roman" w:hAnsi="Times New Roman"/>
          <w:sz w:val="28"/>
          <w:szCs w:val="28"/>
        </w:rPr>
        <w:t xml:space="preserve"> </w:t>
      </w:r>
      <w:r w:rsidR="009456A9">
        <w:rPr>
          <w:rFonts w:ascii="Times New Roman" w:hAnsi="Times New Roman"/>
          <w:sz w:val="28"/>
          <w:szCs w:val="28"/>
        </w:rPr>
        <w:t xml:space="preserve">в рамках Основного мероприятия «Организация уличного освещения» муниципальной программы </w:t>
      </w:r>
      <w:r w:rsidR="009456A9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 Алмозерское на 2021-2025 годы</w:t>
      </w:r>
      <w:r w:rsidR="009456A9" w:rsidRPr="009456A9">
        <w:rPr>
          <w:rFonts w:ascii="Times New Roman" w:hAnsi="Times New Roman"/>
          <w:sz w:val="28"/>
          <w:szCs w:val="28"/>
          <w:lang w:eastAsia="ru-RU"/>
        </w:rPr>
        <w:t>»)</w:t>
      </w:r>
      <w:r w:rsidR="009456A9">
        <w:rPr>
          <w:rFonts w:ascii="Times New Roman" w:hAnsi="Times New Roman"/>
          <w:sz w:val="28"/>
          <w:szCs w:val="28"/>
          <w:lang w:eastAsia="ru-RU"/>
        </w:rPr>
        <w:t>.</w:t>
      </w:r>
    </w:p>
    <w:p w:rsidR="009456A9" w:rsidRDefault="009456A9" w:rsidP="00945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Безвозмездные поступления от негосударственных организаций в сумме 21,0 тыс. рублей будут направлены на проведение мероприятий, посвященных празднованию Дня Победы </w:t>
      </w:r>
      <w:r>
        <w:rPr>
          <w:rFonts w:ascii="Times New Roman" w:hAnsi="Times New Roman"/>
          <w:sz w:val="28"/>
          <w:szCs w:val="28"/>
          <w:lang w:eastAsia="ru-RU"/>
        </w:rPr>
        <w:t xml:space="preserve">(подраздел </w:t>
      </w:r>
      <w:r w:rsidRPr="00D20325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0E5B" w:rsidRDefault="009456A9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внесенных изменений расходы по разделам изменятся</w:t>
      </w:r>
      <w:r w:rsidRPr="009456A9">
        <w:rPr>
          <w:rFonts w:ascii="Times New Roman" w:hAnsi="Times New Roman"/>
          <w:sz w:val="28"/>
          <w:szCs w:val="28"/>
        </w:rPr>
        <w:t>:</w:t>
      </w:r>
    </w:p>
    <w:p w:rsidR="009456A9" w:rsidRPr="009456A9" w:rsidRDefault="009456A9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BD6B37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6A9">
        <w:rPr>
          <w:rFonts w:ascii="Times New Roman" w:hAnsi="Times New Roman"/>
          <w:sz w:val="28"/>
          <w:szCs w:val="28"/>
        </w:rPr>
        <w:t>увеличатся на 318,3 тыс. рублей и составят 3610,2 тыс. рублей;</w:t>
      </w:r>
    </w:p>
    <w:p w:rsidR="00D33B6E" w:rsidRDefault="009456A9" w:rsidP="007C6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9127C">
        <w:rPr>
          <w:rFonts w:ascii="Times New Roman" w:hAnsi="Times New Roman"/>
          <w:b/>
          <w:sz w:val="28"/>
          <w:szCs w:val="28"/>
          <w:lang w:eastAsia="ru-RU"/>
        </w:rPr>
        <w:t>05 «Жилищно – коммунальное хозяйство»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C6D90">
        <w:rPr>
          <w:rFonts w:ascii="Times New Roman" w:hAnsi="Times New Roman"/>
          <w:sz w:val="28"/>
          <w:szCs w:val="28"/>
          <w:lang w:eastAsia="ru-RU"/>
        </w:rPr>
        <w:t xml:space="preserve">увеличатся </w:t>
      </w:r>
      <w:r w:rsidR="007C6D90">
        <w:rPr>
          <w:rFonts w:ascii="Times New Roman" w:hAnsi="Times New Roman"/>
          <w:sz w:val="28"/>
          <w:szCs w:val="28"/>
          <w:lang w:eastAsia="ru-RU"/>
        </w:rPr>
        <w:t xml:space="preserve">на 300,0 тыс. рублей и составят 1206,6 тыс. рублей. </w:t>
      </w:r>
      <w:r w:rsidR="00AA6ABE">
        <w:rPr>
          <w:rFonts w:ascii="Times New Roman" w:hAnsi="Times New Roman"/>
          <w:sz w:val="28"/>
          <w:szCs w:val="28"/>
        </w:rPr>
        <w:t xml:space="preserve">    </w:t>
      </w:r>
      <w:r w:rsidR="008516E3">
        <w:rPr>
          <w:rFonts w:ascii="Times New Roman" w:hAnsi="Times New Roman"/>
          <w:sz w:val="28"/>
          <w:szCs w:val="28"/>
        </w:rPr>
        <w:t xml:space="preserve">      </w:t>
      </w:r>
    </w:p>
    <w:p w:rsidR="000D182B" w:rsidRPr="000D182B" w:rsidRDefault="009A1253" w:rsidP="000D18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1253">
        <w:rPr>
          <w:rFonts w:ascii="Times New Roman" w:hAnsi="Times New Roman"/>
          <w:sz w:val="28"/>
          <w:szCs w:val="28"/>
        </w:rPr>
        <w:t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</w:t>
      </w:r>
      <w:r>
        <w:rPr>
          <w:rFonts w:ascii="Times New Roman" w:hAnsi="Times New Roman"/>
          <w:sz w:val="28"/>
          <w:szCs w:val="28"/>
        </w:rPr>
        <w:t>4</w:t>
      </w:r>
      <w:r w:rsidRPr="009A1253">
        <w:rPr>
          <w:rFonts w:ascii="Times New Roman" w:hAnsi="Times New Roman"/>
          <w:sz w:val="28"/>
          <w:szCs w:val="28"/>
        </w:rPr>
        <w:t xml:space="preserve"> год составит </w:t>
      </w:r>
      <w:r w:rsidR="007C6D90">
        <w:rPr>
          <w:rFonts w:ascii="Times New Roman" w:hAnsi="Times New Roman"/>
          <w:sz w:val="28"/>
          <w:szCs w:val="28"/>
        </w:rPr>
        <w:t>1732,2</w:t>
      </w:r>
      <w:r w:rsidRPr="009A1253">
        <w:rPr>
          <w:rFonts w:ascii="Times New Roman" w:hAnsi="Times New Roman"/>
          <w:sz w:val="28"/>
          <w:szCs w:val="28"/>
        </w:rPr>
        <w:t xml:space="preserve"> тыс. рублей, что соответствует</w:t>
      </w:r>
      <w:r w:rsidR="00611E13">
        <w:rPr>
          <w:rFonts w:ascii="Times New Roman" w:hAnsi="Times New Roman"/>
          <w:sz w:val="28"/>
          <w:szCs w:val="28"/>
        </w:rPr>
        <w:t xml:space="preserve"> нормативу</w:t>
      </w:r>
      <w:r w:rsidRPr="009A1253">
        <w:rPr>
          <w:rFonts w:ascii="Times New Roman" w:hAnsi="Times New Roman"/>
          <w:sz w:val="28"/>
          <w:szCs w:val="28"/>
        </w:rPr>
        <w:t xml:space="preserve"> </w:t>
      </w:r>
      <w:r w:rsidR="000D182B" w:rsidRPr="000D182B">
        <w:rPr>
          <w:rFonts w:ascii="Times New Roman" w:hAnsi="Times New Roman"/>
          <w:sz w:val="28"/>
          <w:szCs w:val="28"/>
        </w:rPr>
        <w:t>2</w:t>
      </w:r>
      <w:r w:rsidR="000D182B">
        <w:rPr>
          <w:rFonts w:ascii="Times New Roman" w:hAnsi="Times New Roman"/>
          <w:sz w:val="28"/>
          <w:szCs w:val="28"/>
        </w:rPr>
        <w:t xml:space="preserve">502,72 </w:t>
      </w:r>
      <w:r w:rsidR="000D182B" w:rsidRPr="000D182B">
        <w:rPr>
          <w:rFonts w:ascii="Times New Roman" w:hAnsi="Times New Roman"/>
          <w:sz w:val="28"/>
          <w:szCs w:val="28"/>
        </w:rPr>
        <w:t>тыс. рублей, установленн</w:t>
      </w:r>
      <w:r w:rsidR="00611E13">
        <w:rPr>
          <w:rFonts w:ascii="Times New Roman" w:hAnsi="Times New Roman"/>
          <w:sz w:val="28"/>
          <w:szCs w:val="28"/>
        </w:rPr>
        <w:t xml:space="preserve">ому </w:t>
      </w:r>
      <w:r w:rsidR="000D182B" w:rsidRPr="000D182B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1,20, применяемого к нормативу для органов местного самоуправления городских и сельских поселений, реализовавших начиная с 2009 года инициативу о преобразовании поселений области путем их объединения, с численностью населения до 3,5 тыс. человек.</w:t>
      </w:r>
    </w:p>
    <w:p w:rsidR="009A1253" w:rsidRPr="009A1253" w:rsidRDefault="00DC4888" w:rsidP="009A12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1253">
        <w:rPr>
          <w:rFonts w:ascii="Times New Roman" w:hAnsi="Times New Roman"/>
          <w:sz w:val="28"/>
          <w:szCs w:val="28"/>
        </w:rPr>
        <w:t xml:space="preserve">В результате внесенных изменений в расходную часть бюджета дефицит бюджета составит </w:t>
      </w:r>
      <w:r w:rsidR="007C6D90">
        <w:rPr>
          <w:rFonts w:ascii="Times New Roman" w:hAnsi="Times New Roman"/>
          <w:sz w:val="28"/>
          <w:szCs w:val="28"/>
        </w:rPr>
        <w:t>164,8</w:t>
      </w:r>
      <w:r w:rsidR="009A1253">
        <w:rPr>
          <w:rFonts w:ascii="Times New Roman" w:hAnsi="Times New Roman"/>
          <w:sz w:val="28"/>
          <w:szCs w:val="28"/>
        </w:rPr>
        <w:t xml:space="preserve"> тыс. рублей. </w:t>
      </w:r>
      <w:r w:rsidR="009A1253" w:rsidRPr="009A1253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</w:t>
      </w:r>
      <w:r w:rsidR="009A1253">
        <w:rPr>
          <w:rFonts w:ascii="Times New Roman" w:hAnsi="Times New Roman"/>
          <w:sz w:val="28"/>
          <w:szCs w:val="28"/>
        </w:rPr>
        <w:t>4</w:t>
      </w:r>
      <w:r w:rsidR="009A1253" w:rsidRPr="009A1253">
        <w:rPr>
          <w:rFonts w:ascii="Times New Roman" w:hAnsi="Times New Roman"/>
          <w:sz w:val="28"/>
          <w:szCs w:val="28"/>
        </w:rPr>
        <w:t xml:space="preserve"> года.</w:t>
      </w:r>
    </w:p>
    <w:p w:rsidR="001457E1" w:rsidRDefault="00DC4888" w:rsidP="001457E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D90" w:rsidRPr="007C6D90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увеличится на </w:t>
      </w:r>
      <w:r w:rsidR="007C6D90">
        <w:rPr>
          <w:rFonts w:ascii="Times New Roman" w:hAnsi="Times New Roman"/>
          <w:sz w:val="28"/>
          <w:szCs w:val="28"/>
        </w:rPr>
        <w:t>300,0</w:t>
      </w:r>
      <w:r w:rsidR="007C6D90" w:rsidRPr="007C6D90">
        <w:rPr>
          <w:rFonts w:ascii="Times New Roman" w:hAnsi="Times New Roman"/>
          <w:sz w:val="28"/>
          <w:szCs w:val="28"/>
        </w:rPr>
        <w:t xml:space="preserve"> тыс. рублей (+</w:t>
      </w:r>
      <w:r w:rsidR="007C6D90">
        <w:rPr>
          <w:rFonts w:ascii="Times New Roman" w:hAnsi="Times New Roman"/>
          <w:sz w:val="28"/>
          <w:szCs w:val="28"/>
        </w:rPr>
        <w:t>17,5</w:t>
      </w:r>
      <w:r w:rsidR="007C6D90" w:rsidRPr="007C6D90">
        <w:rPr>
          <w:rFonts w:ascii="Times New Roman" w:hAnsi="Times New Roman"/>
          <w:sz w:val="28"/>
          <w:szCs w:val="28"/>
        </w:rPr>
        <w:t xml:space="preserve">%) и составит в 2024 году </w:t>
      </w:r>
      <w:r w:rsidR="007C6D90">
        <w:rPr>
          <w:rFonts w:ascii="Times New Roman" w:hAnsi="Times New Roman"/>
          <w:sz w:val="28"/>
          <w:szCs w:val="28"/>
        </w:rPr>
        <w:t>2012,6</w:t>
      </w:r>
      <w:r w:rsidR="007C6D90" w:rsidRPr="007C6D90">
        <w:rPr>
          <w:rFonts w:ascii="Times New Roman" w:hAnsi="Times New Roman"/>
          <w:sz w:val="28"/>
          <w:szCs w:val="28"/>
        </w:rPr>
        <w:t xml:space="preserve"> тыс. рублей, или </w:t>
      </w:r>
      <w:r w:rsidR="007C6D90">
        <w:rPr>
          <w:rFonts w:ascii="Times New Roman" w:hAnsi="Times New Roman"/>
          <w:sz w:val="28"/>
          <w:szCs w:val="28"/>
        </w:rPr>
        <w:t>24,7</w:t>
      </w:r>
      <w:r w:rsidR="007C6D90" w:rsidRPr="007C6D90">
        <w:rPr>
          <w:rFonts w:ascii="Times New Roman" w:hAnsi="Times New Roman"/>
          <w:sz w:val="28"/>
          <w:szCs w:val="28"/>
        </w:rPr>
        <w:t xml:space="preserve"> % от общего объема расходов поселения. </w:t>
      </w:r>
    </w:p>
    <w:p w:rsidR="007C6D90" w:rsidRDefault="007C6D90" w:rsidP="00AD1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C6D90">
        <w:rPr>
          <w:rFonts w:ascii="Times New Roman" w:hAnsi="Times New Roman"/>
          <w:sz w:val="28"/>
          <w:szCs w:val="28"/>
        </w:rPr>
        <w:t>Изменения в показатели бюджета поселения на 2025 год приведены в таблице:</w:t>
      </w:r>
    </w:p>
    <w:p w:rsidR="007C6D90" w:rsidRPr="007C6D90" w:rsidRDefault="007C6D90" w:rsidP="00AD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7C6D90" w:rsidRPr="00AA6ABE" w:rsidTr="00C82115">
        <w:trPr>
          <w:trHeight w:val="541"/>
        </w:trPr>
        <w:tc>
          <w:tcPr>
            <w:tcW w:w="3626" w:type="dxa"/>
            <w:noWrap/>
          </w:tcPr>
          <w:p w:rsidR="007C6D90" w:rsidRPr="00AA6ABE" w:rsidRDefault="007C6D90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6D90" w:rsidRPr="00AA6ABE" w:rsidRDefault="007C6D90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6D90" w:rsidRPr="00AA6ABE" w:rsidRDefault="007C6D90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7C6D90" w:rsidRPr="00AA6ABE" w:rsidRDefault="007C6D90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14.12.23 № 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7" w:type="dxa"/>
          </w:tcPr>
          <w:p w:rsidR="007C6D90" w:rsidRPr="00AA6ABE" w:rsidRDefault="007C6D90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7C6D90" w:rsidRPr="00AA6ABE" w:rsidRDefault="007C6D90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7C6D90" w:rsidRPr="00AA6ABE" w:rsidRDefault="007C6D90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7C6D90" w:rsidRPr="00AA6ABE" w:rsidTr="00C82115">
        <w:trPr>
          <w:trHeight w:val="300"/>
        </w:trPr>
        <w:tc>
          <w:tcPr>
            <w:tcW w:w="3626" w:type="dxa"/>
            <w:noWrap/>
          </w:tcPr>
          <w:p w:rsidR="007C6D90" w:rsidRPr="00AA6ABE" w:rsidRDefault="007C6D90" w:rsidP="007C6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7459,0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7604,6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2,0%</w:t>
            </w:r>
          </w:p>
        </w:tc>
      </w:tr>
      <w:tr w:rsidR="007C6D90" w:rsidRPr="00AA6ABE" w:rsidTr="00C82115">
        <w:trPr>
          <w:trHeight w:val="300"/>
        </w:trPr>
        <w:tc>
          <w:tcPr>
            <w:tcW w:w="3626" w:type="dxa"/>
            <w:noWrap/>
          </w:tcPr>
          <w:p w:rsidR="007C6D90" w:rsidRPr="00AA6ABE" w:rsidRDefault="007C6D90" w:rsidP="007C6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7C6D90" w:rsidRPr="00AA6ABE" w:rsidTr="00C82115">
        <w:trPr>
          <w:trHeight w:val="300"/>
        </w:trPr>
        <w:tc>
          <w:tcPr>
            <w:tcW w:w="3626" w:type="dxa"/>
            <w:noWrap/>
          </w:tcPr>
          <w:p w:rsidR="007C6D90" w:rsidRPr="00AA6ABE" w:rsidRDefault="007C6D90" w:rsidP="007C6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7055,0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7200,6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color w:val="000000"/>
                <w:sz w:val="18"/>
                <w:szCs w:val="18"/>
              </w:rPr>
              <w:t>2,1%</w:t>
            </w:r>
          </w:p>
        </w:tc>
      </w:tr>
      <w:tr w:rsidR="007C6D90" w:rsidRPr="00AA6ABE" w:rsidTr="00C82115">
        <w:trPr>
          <w:trHeight w:val="413"/>
        </w:trPr>
        <w:tc>
          <w:tcPr>
            <w:tcW w:w="3626" w:type="dxa"/>
            <w:noWrap/>
          </w:tcPr>
          <w:p w:rsidR="007C6D90" w:rsidRPr="00AA6ABE" w:rsidRDefault="007C6D90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6D90" w:rsidRPr="007C6D90" w:rsidRDefault="007C6D90" w:rsidP="00C82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7459,0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7604,6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+ 2,0%</w:t>
            </w:r>
          </w:p>
        </w:tc>
      </w:tr>
      <w:tr w:rsidR="007C6D90" w:rsidRPr="00AA6ABE" w:rsidTr="00C82115">
        <w:trPr>
          <w:trHeight w:val="300"/>
        </w:trPr>
        <w:tc>
          <w:tcPr>
            <w:tcW w:w="3626" w:type="dxa"/>
            <w:noWrap/>
          </w:tcPr>
          <w:p w:rsidR="007C6D90" w:rsidRPr="00AA6ABE" w:rsidRDefault="007C6D90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7C6D90" w:rsidRPr="007C6D90" w:rsidRDefault="007C6D90" w:rsidP="007C6D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7C6D90" w:rsidRPr="007C6D90" w:rsidRDefault="007C6D90" w:rsidP="00C82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C6D90" w:rsidRPr="007F5547" w:rsidRDefault="007C6D90" w:rsidP="007C6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5547"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>
        <w:rPr>
          <w:rFonts w:ascii="Times New Roman" w:hAnsi="Times New Roman"/>
          <w:sz w:val="28"/>
          <w:szCs w:val="28"/>
        </w:rPr>
        <w:t>5</w:t>
      </w:r>
      <w:r w:rsidRPr="007F554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 w:rsidRPr="007F5547">
        <w:rPr>
          <w:rFonts w:ascii="Times New Roman" w:hAnsi="Times New Roman"/>
          <w:sz w:val="28"/>
          <w:szCs w:val="28"/>
        </w:rPr>
        <w:t xml:space="preserve">на </w:t>
      </w:r>
      <w:r w:rsidR="003A25A9">
        <w:rPr>
          <w:rFonts w:ascii="Times New Roman" w:hAnsi="Times New Roman"/>
          <w:sz w:val="28"/>
          <w:szCs w:val="28"/>
        </w:rPr>
        <w:t>145,6</w:t>
      </w:r>
      <w:r w:rsidRPr="007F5547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2,</w:t>
      </w:r>
      <w:r w:rsidR="003A25A9">
        <w:rPr>
          <w:rFonts w:ascii="Times New Roman" w:hAnsi="Times New Roman"/>
          <w:sz w:val="28"/>
          <w:szCs w:val="28"/>
        </w:rPr>
        <w:t>0</w:t>
      </w:r>
      <w:r w:rsidRPr="007F5547">
        <w:rPr>
          <w:rFonts w:ascii="Times New Roman" w:hAnsi="Times New Roman"/>
          <w:sz w:val="28"/>
          <w:szCs w:val="28"/>
        </w:rPr>
        <w:t xml:space="preserve"> %) и составит </w:t>
      </w:r>
      <w:r w:rsidR="003A25A9">
        <w:rPr>
          <w:rFonts w:ascii="Times New Roman" w:hAnsi="Times New Roman"/>
          <w:sz w:val="28"/>
          <w:szCs w:val="28"/>
        </w:rPr>
        <w:t>7604,6 тыс. рублей</w:t>
      </w:r>
      <w:r w:rsidR="001457E1">
        <w:rPr>
          <w:rFonts w:ascii="Times New Roman" w:hAnsi="Times New Roman"/>
          <w:sz w:val="28"/>
          <w:szCs w:val="28"/>
        </w:rPr>
        <w:t>.</w:t>
      </w:r>
    </w:p>
    <w:p w:rsidR="007C6D90" w:rsidRDefault="007C6D90" w:rsidP="007C6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547">
        <w:rPr>
          <w:rFonts w:ascii="Times New Roman" w:hAnsi="Times New Roman"/>
          <w:sz w:val="28"/>
          <w:szCs w:val="28"/>
        </w:rPr>
        <w:t xml:space="preserve">        </w:t>
      </w:r>
      <w:r w:rsidRPr="00AD17FD">
        <w:rPr>
          <w:rFonts w:ascii="Times New Roman" w:hAnsi="Times New Roman"/>
          <w:sz w:val="28"/>
          <w:szCs w:val="28"/>
        </w:rPr>
        <w:t>План поступлений налоговых</w:t>
      </w:r>
      <w:r w:rsidRPr="007F5547">
        <w:rPr>
          <w:rFonts w:ascii="Times New Roman" w:hAnsi="Times New Roman"/>
          <w:sz w:val="28"/>
          <w:szCs w:val="28"/>
        </w:rPr>
        <w:t xml:space="preserve"> и неналоговых доходов останется без изменений и составит </w:t>
      </w:r>
      <w:r w:rsidR="00AD17FD">
        <w:rPr>
          <w:rFonts w:ascii="Times New Roman" w:hAnsi="Times New Roman"/>
          <w:sz w:val="28"/>
          <w:szCs w:val="28"/>
        </w:rPr>
        <w:t>404,0</w:t>
      </w:r>
      <w:r w:rsidRPr="007F5547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 w:rsidR="00AD17FD">
        <w:rPr>
          <w:rFonts w:ascii="Times New Roman" w:hAnsi="Times New Roman"/>
          <w:sz w:val="28"/>
          <w:szCs w:val="28"/>
        </w:rPr>
        <w:t>145,6</w:t>
      </w:r>
      <w:r w:rsidRPr="007F5547">
        <w:rPr>
          <w:rFonts w:ascii="Times New Roman" w:hAnsi="Times New Roman"/>
          <w:sz w:val="28"/>
          <w:szCs w:val="28"/>
        </w:rPr>
        <w:t xml:space="preserve"> тыс. рублей (+ </w:t>
      </w:r>
      <w:r w:rsidR="00AD17FD">
        <w:rPr>
          <w:rFonts w:ascii="Times New Roman" w:hAnsi="Times New Roman"/>
          <w:sz w:val="28"/>
          <w:szCs w:val="28"/>
        </w:rPr>
        <w:t>2,1</w:t>
      </w:r>
      <w:r w:rsidRPr="007F5547">
        <w:rPr>
          <w:rFonts w:ascii="Times New Roman" w:hAnsi="Times New Roman"/>
          <w:sz w:val="28"/>
          <w:szCs w:val="28"/>
        </w:rPr>
        <w:t>%)</w:t>
      </w:r>
      <w:r w:rsidR="00AD17FD">
        <w:rPr>
          <w:rFonts w:ascii="Times New Roman" w:hAnsi="Times New Roman"/>
          <w:sz w:val="28"/>
          <w:szCs w:val="28"/>
        </w:rPr>
        <w:t xml:space="preserve"> за счет поступления</w:t>
      </w:r>
      <w:r w:rsidR="00AD17FD" w:rsidRPr="00AD17FD">
        <w:rPr>
          <w:rFonts w:ascii="Times New Roman" w:hAnsi="Times New Roman"/>
          <w:sz w:val="28"/>
          <w:szCs w:val="28"/>
        </w:rPr>
        <w:t xml:space="preserve"> </w:t>
      </w:r>
      <w:r w:rsidR="00AD17FD">
        <w:rPr>
          <w:rFonts w:ascii="Times New Roman" w:hAnsi="Times New Roman"/>
          <w:sz w:val="28"/>
          <w:szCs w:val="28"/>
        </w:rPr>
        <w:t xml:space="preserve">из областного бюджета прочих </w:t>
      </w:r>
      <w:r>
        <w:rPr>
          <w:rFonts w:ascii="Times New Roman" w:hAnsi="Times New Roman"/>
          <w:sz w:val="28"/>
          <w:szCs w:val="28"/>
        </w:rPr>
        <w:t xml:space="preserve">субсидий на обустройство систем уличного освещения </w:t>
      </w:r>
      <w:r w:rsidRPr="00CC1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(утверждены законом области от 28.03.2024 №5574-ОЗ).</w:t>
      </w:r>
    </w:p>
    <w:p w:rsidR="007C6D90" w:rsidRDefault="007C6D90" w:rsidP="007C6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6E66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AD17FD">
        <w:rPr>
          <w:rFonts w:ascii="Times New Roman" w:hAnsi="Times New Roman"/>
          <w:sz w:val="28"/>
          <w:szCs w:val="28"/>
        </w:rPr>
        <w:t>7200,6</w:t>
      </w:r>
      <w:r>
        <w:rPr>
          <w:rFonts w:ascii="Times New Roman" w:hAnsi="Times New Roman"/>
          <w:sz w:val="28"/>
          <w:szCs w:val="28"/>
        </w:rPr>
        <w:t xml:space="preserve"> ты</w:t>
      </w:r>
      <w:r w:rsidRPr="00946E66">
        <w:rPr>
          <w:rFonts w:ascii="Times New Roman" w:hAnsi="Times New Roman"/>
          <w:sz w:val="28"/>
          <w:szCs w:val="28"/>
        </w:rPr>
        <w:t xml:space="preserve">с. рублей. Их доля в общем объеме доходов поселения – </w:t>
      </w:r>
      <w:r w:rsidR="00AD17FD">
        <w:rPr>
          <w:rFonts w:ascii="Times New Roman" w:hAnsi="Times New Roman"/>
          <w:sz w:val="28"/>
          <w:szCs w:val="28"/>
        </w:rPr>
        <w:t xml:space="preserve">94,7 </w:t>
      </w:r>
      <w:r w:rsidRPr="00946E66">
        <w:rPr>
          <w:rFonts w:ascii="Times New Roman" w:hAnsi="Times New Roman"/>
          <w:sz w:val="28"/>
          <w:szCs w:val="28"/>
        </w:rPr>
        <w:t xml:space="preserve">%, доля налоговых и неналоговых доходов – </w:t>
      </w:r>
      <w:r w:rsidR="00AD17FD">
        <w:rPr>
          <w:rFonts w:ascii="Times New Roman" w:hAnsi="Times New Roman"/>
          <w:sz w:val="28"/>
          <w:szCs w:val="28"/>
        </w:rPr>
        <w:t>5,3</w:t>
      </w:r>
      <w:r w:rsidRPr="00946E66">
        <w:rPr>
          <w:rFonts w:ascii="Times New Roman" w:hAnsi="Times New Roman"/>
          <w:sz w:val="28"/>
          <w:szCs w:val="28"/>
        </w:rPr>
        <w:t xml:space="preserve"> %.         </w:t>
      </w:r>
    </w:p>
    <w:p w:rsidR="007C6D90" w:rsidRDefault="007C6D90" w:rsidP="007C6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6E66">
        <w:rPr>
          <w:rFonts w:ascii="Times New Roman" w:hAnsi="Times New Roman"/>
          <w:sz w:val="28"/>
          <w:szCs w:val="28"/>
        </w:rPr>
        <w:t>Расходная часть бюджета увеличится на</w:t>
      </w:r>
      <w:r>
        <w:rPr>
          <w:rFonts w:ascii="Times New Roman" w:hAnsi="Times New Roman"/>
          <w:sz w:val="28"/>
          <w:szCs w:val="28"/>
        </w:rPr>
        <w:t xml:space="preserve"> сумму дополнительно поступающих субсидий</w:t>
      </w:r>
      <w:r w:rsidRPr="00946E66">
        <w:rPr>
          <w:rFonts w:ascii="Times New Roman" w:hAnsi="Times New Roman"/>
          <w:sz w:val="28"/>
          <w:szCs w:val="28"/>
        </w:rPr>
        <w:t xml:space="preserve"> </w:t>
      </w:r>
      <w:r w:rsidR="00AD17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17FD">
        <w:rPr>
          <w:rFonts w:ascii="Times New Roman" w:hAnsi="Times New Roman"/>
          <w:sz w:val="28"/>
          <w:szCs w:val="28"/>
        </w:rPr>
        <w:t>145,6</w:t>
      </w:r>
      <w:r w:rsidRPr="00946E66">
        <w:rPr>
          <w:rFonts w:ascii="Times New Roman" w:hAnsi="Times New Roman"/>
          <w:sz w:val="28"/>
          <w:szCs w:val="28"/>
        </w:rPr>
        <w:t xml:space="preserve"> тыс. рублей. Общий объем расходов составит </w:t>
      </w:r>
      <w:r w:rsidR="00AD17FD">
        <w:rPr>
          <w:rFonts w:ascii="Times New Roman" w:hAnsi="Times New Roman"/>
          <w:sz w:val="28"/>
          <w:szCs w:val="28"/>
        </w:rPr>
        <w:t>7604,6</w:t>
      </w:r>
      <w:r w:rsidRPr="00946E66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7C6D90" w:rsidRDefault="007C6D90" w:rsidP="00AD17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0A2B">
        <w:rPr>
          <w:rFonts w:ascii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Основного мероприятия </w:t>
      </w:r>
      <w:r w:rsidR="00AD17FD">
        <w:rPr>
          <w:rFonts w:ascii="Times New Roman" w:hAnsi="Times New Roman"/>
          <w:sz w:val="28"/>
          <w:szCs w:val="28"/>
        </w:rPr>
        <w:t xml:space="preserve">«Организация уличного освещения» муниципальной программы </w:t>
      </w:r>
      <w:r w:rsidR="00AD17FD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 Алмозерское на 2021-2025 годы</w:t>
      </w:r>
      <w:r w:rsidR="00AD17FD" w:rsidRPr="009456A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17FD" w:rsidRDefault="007C6D90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Проектом решения предлагается утвердить на 2025 год</w:t>
      </w:r>
      <w:r w:rsidRPr="006A62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софинансирование мероприятий по </w:t>
      </w:r>
      <w:r>
        <w:rPr>
          <w:rFonts w:ascii="Times New Roman" w:hAnsi="Times New Roman"/>
          <w:sz w:val="28"/>
          <w:szCs w:val="28"/>
        </w:rPr>
        <w:t xml:space="preserve">обустройству систем уличного освещения в сумме </w:t>
      </w:r>
      <w:r w:rsidR="00AD17FD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тыс. рублей за счет сокращения расходов на организацию уличного освещения (средства поселения) на </w:t>
      </w:r>
      <w:r w:rsidR="00AD17FD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17E92" w:rsidRPr="00617E92" w:rsidRDefault="00617E92" w:rsidP="00617E9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расходов </w:t>
      </w:r>
      <w:r w:rsidRPr="00617E92">
        <w:rPr>
          <w:rFonts w:ascii="Times New Roman" w:hAnsi="Times New Roman"/>
          <w:sz w:val="28"/>
          <w:szCs w:val="28"/>
        </w:rPr>
        <w:t xml:space="preserve">по разделу </w:t>
      </w:r>
      <w:r w:rsidRPr="00617E92">
        <w:rPr>
          <w:rFonts w:ascii="Times New Roman" w:hAnsi="Times New Roman"/>
          <w:b/>
          <w:sz w:val="28"/>
          <w:szCs w:val="28"/>
        </w:rPr>
        <w:t xml:space="preserve">05 «Жилищно – коммунальное хозяйство» </w:t>
      </w:r>
      <w:r w:rsidRPr="00617E9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</w:t>
      </w:r>
      <w:r w:rsidRPr="00617E92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145,6</w:t>
      </w:r>
      <w:r w:rsidRPr="00617E92">
        <w:rPr>
          <w:rFonts w:ascii="Times New Roman" w:hAnsi="Times New Roman"/>
          <w:sz w:val="28"/>
          <w:szCs w:val="28"/>
        </w:rPr>
        <w:t xml:space="preserve"> тыс. рублей и состав</w:t>
      </w:r>
      <w:r>
        <w:rPr>
          <w:rFonts w:ascii="Times New Roman" w:hAnsi="Times New Roman"/>
          <w:sz w:val="28"/>
          <w:szCs w:val="28"/>
        </w:rPr>
        <w:t>и</w:t>
      </w:r>
      <w:r w:rsidRPr="00617E9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 2025 году 1052,2</w:t>
      </w:r>
      <w:r w:rsidRPr="00617E92">
        <w:rPr>
          <w:rFonts w:ascii="Times New Roman" w:hAnsi="Times New Roman"/>
          <w:sz w:val="28"/>
          <w:szCs w:val="28"/>
        </w:rPr>
        <w:t xml:space="preserve"> тыс. рублей.         </w:t>
      </w:r>
    </w:p>
    <w:p w:rsidR="00AD17FD" w:rsidRDefault="00AD17FD" w:rsidP="00617E9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17FD">
        <w:rPr>
          <w:rFonts w:ascii="Times New Roman" w:hAnsi="Times New Roman"/>
          <w:sz w:val="28"/>
          <w:szCs w:val="28"/>
        </w:rPr>
        <w:t>Изменения в показатели бюджета поселения на 2026 год приведены в таблице:</w:t>
      </w:r>
    </w:p>
    <w:p w:rsidR="00AD17FD" w:rsidRPr="007C6D90" w:rsidRDefault="00AD17FD" w:rsidP="00AD1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AD17FD" w:rsidRPr="00AA6ABE" w:rsidTr="00C82115">
        <w:trPr>
          <w:trHeight w:val="541"/>
        </w:trPr>
        <w:tc>
          <w:tcPr>
            <w:tcW w:w="3626" w:type="dxa"/>
            <w:noWrap/>
          </w:tcPr>
          <w:p w:rsidR="00AD17FD" w:rsidRPr="00AA6ABE" w:rsidRDefault="00AD17FD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17FD" w:rsidRPr="00AA6ABE" w:rsidRDefault="00AD17FD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17FD" w:rsidRPr="00AA6ABE" w:rsidRDefault="00AD17FD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D17FD" w:rsidRPr="00AA6ABE" w:rsidRDefault="00AD17FD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14.12.23 № 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7" w:type="dxa"/>
          </w:tcPr>
          <w:p w:rsidR="00AD17FD" w:rsidRPr="00AA6ABE" w:rsidRDefault="00AD17FD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AD17FD" w:rsidRPr="00AA6ABE" w:rsidRDefault="00AD17FD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AD17FD" w:rsidRPr="00AA6ABE" w:rsidRDefault="00AD17FD" w:rsidP="00C82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617E92" w:rsidRPr="00AA6ABE" w:rsidTr="00C82115">
        <w:trPr>
          <w:trHeight w:val="300"/>
        </w:trPr>
        <w:tc>
          <w:tcPr>
            <w:tcW w:w="3626" w:type="dxa"/>
            <w:noWrap/>
          </w:tcPr>
          <w:p w:rsidR="00617E92" w:rsidRPr="00AA6ABE" w:rsidRDefault="00617E92" w:rsidP="00617E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7495,4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7641,0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2,0%</w:t>
            </w:r>
          </w:p>
        </w:tc>
      </w:tr>
      <w:tr w:rsidR="00617E92" w:rsidRPr="00AA6ABE" w:rsidTr="00C82115">
        <w:trPr>
          <w:trHeight w:val="300"/>
        </w:trPr>
        <w:tc>
          <w:tcPr>
            <w:tcW w:w="3626" w:type="dxa"/>
            <w:noWrap/>
          </w:tcPr>
          <w:p w:rsidR="00617E92" w:rsidRPr="00AA6ABE" w:rsidRDefault="00617E92" w:rsidP="00617E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617E92" w:rsidRPr="00AA6ABE" w:rsidTr="00C82115">
        <w:trPr>
          <w:trHeight w:val="300"/>
        </w:trPr>
        <w:tc>
          <w:tcPr>
            <w:tcW w:w="3626" w:type="dxa"/>
            <w:noWrap/>
          </w:tcPr>
          <w:p w:rsidR="00617E92" w:rsidRPr="00AA6ABE" w:rsidRDefault="00617E92" w:rsidP="00617E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7088,4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7234,0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E92" w:rsidRPr="00617E92" w:rsidRDefault="00617E92" w:rsidP="00617E9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Pr="00617E92">
              <w:rPr>
                <w:rFonts w:ascii="Times New Roman" w:hAnsi="Times New Roman"/>
                <w:color w:val="000000"/>
                <w:sz w:val="18"/>
                <w:szCs w:val="18"/>
              </w:rPr>
              <w:t>2,1%</w:t>
            </w:r>
          </w:p>
        </w:tc>
      </w:tr>
      <w:tr w:rsidR="00AD17FD" w:rsidRPr="00AA6ABE" w:rsidTr="00C82115">
        <w:trPr>
          <w:trHeight w:val="413"/>
        </w:trPr>
        <w:tc>
          <w:tcPr>
            <w:tcW w:w="3626" w:type="dxa"/>
            <w:noWrap/>
          </w:tcPr>
          <w:p w:rsidR="00AD17FD" w:rsidRPr="00AA6ABE" w:rsidRDefault="00AD17FD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17FD" w:rsidRPr="007C6D90" w:rsidRDefault="00617E92" w:rsidP="00C82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7495,4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17FD" w:rsidRPr="007C6D90" w:rsidRDefault="00617E92" w:rsidP="00C82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7E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7641,0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+ 2,0%</w:t>
            </w:r>
          </w:p>
        </w:tc>
      </w:tr>
      <w:tr w:rsidR="00AD17FD" w:rsidRPr="00AA6ABE" w:rsidTr="00C82115">
        <w:trPr>
          <w:trHeight w:val="300"/>
        </w:trPr>
        <w:tc>
          <w:tcPr>
            <w:tcW w:w="3626" w:type="dxa"/>
            <w:noWrap/>
          </w:tcPr>
          <w:p w:rsidR="00AD17FD" w:rsidRPr="00AA6ABE" w:rsidRDefault="00AD17FD" w:rsidP="00C821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AD17FD" w:rsidRPr="007C6D90" w:rsidRDefault="00AD17FD" w:rsidP="00C82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17E92"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>
        <w:rPr>
          <w:rFonts w:ascii="Times New Roman" w:hAnsi="Times New Roman"/>
          <w:sz w:val="28"/>
          <w:szCs w:val="28"/>
        </w:rPr>
        <w:t>6</w:t>
      </w:r>
      <w:r w:rsidRPr="00617E92">
        <w:rPr>
          <w:rFonts w:ascii="Times New Roman" w:hAnsi="Times New Roman"/>
          <w:sz w:val="28"/>
          <w:szCs w:val="28"/>
        </w:rPr>
        <w:t xml:space="preserve"> году увеличится на 145,6 тыс. рублей (+2,0 %) и составит 76</w:t>
      </w:r>
      <w:r>
        <w:rPr>
          <w:rFonts w:ascii="Times New Roman" w:hAnsi="Times New Roman"/>
          <w:sz w:val="28"/>
          <w:szCs w:val="28"/>
        </w:rPr>
        <w:t>41,0</w:t>
      </w:r>
      <w:r w:rsidRPr="00617E92">
        <w:rPr>
          <w:rFonts w:ascii="Times New Roman" w:hAnsi="Times New Roman"/>
          <w:sz w:val="28"/>
          <w:szCs w:val="28"/>
        </w:rPr>
        <w:t xml:space="preserve"> тыс. рублей.</w:t>
      </w:r>
    </w:p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E92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40</w:t>
      </w:r>
      <w:r>
        <w:rPr>
          <w:rFonts w:ascii="Times New Roman" w:hAnsi="Times New Roman"/>
          <w:sz w:val="28"/>
          <w:szCs w:val="28"/>
        </w:rPr>
        <w:t>7</w:t>
      </w:r>
      <w:r w:rsidRPr="00617E92">
        <w:rPr>
          <w:rFonts w:ascii="Times New Roman" w:hAnsi="Times New Roman"/>
          <w:sz w:val="28"/>
          <w:szCs w:val="28"/>
        </w:rPr>
        <w:t>,0 тыс. рублей. Объем безвозмездных поступлений увеличится на 145,6 тыс. рублей (+ 2,</w:t>
      </w:r>
      <w:r>
        <w:rPr>
          <w:rFonts w:ascii="Times New Roman" w:hAnsi="Times New Roman"/>
          <w:sz w:val="28"/>
          <w:szCs w:val="28"/>
        </w:rPr>
        <w:t>0</w:t>
      </w:r>
      <w:r w:rsidRPr="00617E92">
        <w:rPr>
          <w:rFonts w:ascii="Times New Roman" w:hAnsi="Times New Roman"/>
          <w:sz w:val="28"/>
          <w:szCs w:val="28"/>
        </w:rPr>
        <w:t>%) за счет поступления из областного бюджета прочих субсидий на обустройство систем уличного освещения  (утверждены законом области от 28.03.2024 №5574-ОЗ).</w:t>
      </w:r>
    </w:p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E92">
        <w:rPr>
          <w:rFonts w:ascii="Times New Roman" w:hAnsi="Times New Roman"/>
          <w:sz w:val="28"/>
          <w:szCs w:val="28"/>
        </w:rPr>
        <w:t xml:space="preserve">       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7234,0</w:t>
      </w:r>
      <w:r w:rsidRPr="00617E92">
        <w:rPr>
          <w:rFonts w:ascii="Times New Roman" w:hAnsi="Times New Roman"/>
          <w:sz w:val="28"/>
          <w:szCs w:val="28"/>
        </w:rPr>
        <w:t xml:space="preserve"> тыс. рублей. Их доля в общем объеме доходов поселения – 94,7 %, доля налоговых и неналоговых доходов – 5,3 %.         </w:t>
      </w:r>
    </w:p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E92">
        <w:rPr>
          <w:rFonts w:ascii="Times New Roman" w:hAnsi="Times New Roman"/>
          <w:sz w:val="28"/>
          <w:szCs w:val="28"/>
        </w:rPr>
        <w:t xml:space="preserve">       Расходная часть бюджета увеличится на сумму дополнительно поступающих субсидий – 145,6 тыс. рублей. Общий объем расходов составит 7</w:t>
      </w:r>
      <w:r>
        <w:rPr>
          <w:rFonts w:ascii="Times New Roman" w:hAnsi="Times New Roman"/>
          <w:sz w:val="28"/>
          <w:szCs w:val="28"/>
        </w:rPr>
        <w:t>641,0</w:t>
      </w:r>
      <w:r w:rsidRPr="00617E92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E92"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по подразделу </w:t>
      </w:r>
      <w:r w:rsidRPr="00617E92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617E92">
        <w:rPr>
          <w:rFonts w:ascii="Times New Roman" w:hAnsi="Times New Roman"/>
          <w:sz w:val="28"/>
          <w:szCs w:val="28"/>
        </w:rPr>
        <w:t>в рамках исполнения Основного мероприятия «Организация уличного освещения» муниципальной программы «Благоустройство территории сельского поселения Алмозерское на 202</w:t>
      </w:r>
      <w:r w:rsidR="00473C45">
        <w:rPr>
          <w:rFonts w:ascii="Times New Roman" w:hAnsi="Times New Roman"/>
          <w:sz w:val="28"/>
          <w:szCs w:val="28"/>
        </w:rPr>
        <w:t>6</w:t>
      </w:r>
      <w:r w:rsidRPr="00617E92">
        <w:rPr>
          <w:rFonts w:ascii="Times New Roman" w:hAnsi="Times New Roman"/>
          <w:sz w:val="28"/>
          <w:szCs w:val="28"/>
        </w:rPr>
        <w:t>-20</w:t>
      </w:r>
      <w:r w:rsidR="00473C45">
        <w:rPr>
          <w:rFonts w:ascii="Times New Roman" w:hAnsi="Times New Roman"/>
          <w:sz w:val="28"/>
          <w:szCs w:val="28"/>
        </w:rPr>
        <w:t>30</w:t>
      </w:r>
      <w:r w:rsidRPr="00617E92">
        <w:rPr>
          <w:rFonts w:ascii="Times New Roman" w:hAnsi="Times New Roman"/>
          <w:sz w:val="28"/>
          <w:szCs w:val="28"/>
        </w:rPr>
        <w:t xml:space="preserve"> годы». </w:t>
      </w:r>
      <w:bookmarkStart w:id="0" w:name="_GoBack"/>
      <w:bookmarkEnd w:id="0"/>
    </w:p>
    <w:p w:rsidR="00617E92" w:rsidRP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E92">
        <w:rPr>
          <w:rFonts w:ascii="Times New Roman" w:hAnsi="Times New Roman"/>
          <w:sz w:val="28"/>
          <w:szCs w:val="28"/>
        </w:rPr>
        <w:t xml:space="preserve">        Проектом решения предлагается утвердить на 202</w:t>
      </w:r>
      <w:r>
        <w:rPr>
          <w:rFonts w:ascii="Times New Roman" w:hAnsi="Times New Roman"/>
          <w:sz w:val="28"/>
          <w:szCs w:val="28"/>
        </w:rPr>
        <w:t>6</w:t>
      </w:r>
      <w:r w:rsidRPr="00617E92">
        <w:rPr>
          <w:rFonts w:ascii="Times New Roman" w:hAnsi="Times New Roman"/>
          <w:sz w:val="28"/>
          <w:szCs w:val="28"/>
        </w:rPr>
        <w:t xml:space="preserve"> год расходы на софинансирование мероприятий по обустройству систем уличного освещения в сумме 4,5 тыс. рублей за счет сокращения расходов на организацию уличного освещения (средства поселения) на 4,5 тыс. рублей. </w:t>
      </w:r>
    </w:p>
    <w:p w:rsidR="00617E92" w:rsidRPr="00617E92" w:rsidRDefault="00617E92" w:rsidP="00617E9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расходов </w:t>
      </w:r>
      <w:r w:rsidRPr="00617E92">
        <w:rPr>
          <w:rFonts w:ascii="Times New Roman" w:hAnsi="Times New Roman"/>
          <w:sz w:val="28"/>
          <w:szCs w:val="28"/>
        </w:rPr>
        <w:t xml:space="preserve">по разделу </w:t>
      </w:r>
      <w:r w:rsidRPr="00617E92">
        <w:rPr>
          <w:rFonts w:ascii="Times New Roman" w:hAnsi="Times New Roman"/>
          <w:b/>
          <w:sz w:val="28"/>
          <w:szCs w:val="28"/>
        </w:rPr>
        <w:t xml:space="preserve">05 «Жилищно – коммунальное хозяйство» </w:t>
      </w:r>
      <w:r w:rsidRPr="00617E9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</w:t>
      </w:r>
      <w:r w:rsidRPr="00617E92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145,6</w:t>
      </w:r>
      <w:r w:rsidRPr="00617E92">
        <w:rPr>
          <w:rFonts w:ascii="Times New Roman" w:hAnsi="Times New Roman"/>
          <w:sz w:val="28"/>
          <w:szCs w:val="28"/>
        </w:rPr>
        <w:t xml:space="preserve"> тыс. рублей и состав</w:t>
      </w:r>
      <w:r>
        <w:rPr>
          <w:rFonts w:ascii="Times New Roman" w:hAnsi="Times New Roman"/>
          <w:sz w:val="28"/>
          <w:szCs w:val="28"/>
        </w:rPr>
        <w:t>и</w:t>
      </w:r>
      <w:r w:rsidRPr="00617E9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 2026 году 1052,2</w:t>
      </w:r>
      <w:r w:rsidRPr="00617E92">
        <w:rPr>
          <w:rFonts w:ascii="Times New Roman" w:hAnsi="Times New Roman"/>
          <w:sz w:val="28"/>
          <w:szCs w:val="28"/>
        </w:rPr>
        <w:t xml:space="preserve"> тыс. рублей.         </w:t>
      </w:r>
    </w:p>
    <w:p w:rsidR="00617E92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67FF">
        <w:rPr>
          <w:rFonts w:ascii="Times New Roman" w:hAnsi="Times New Roman"/>
          <w:sz w:val="28"/>
          <w:szCs w:val="28"/>
        </w:rPr>
        <w:t xml:space="preserve">В результате внесенных изменений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на 2025 и 2026 годы </w:t>
      </w:r>
      <w:r w:rsidRPr="001A67FF">
        <w:rPr>
          <w:rFonts w:ascii="Times New Roman" w:hAnsi="Times New Roman"/>
          <w:sz w:val="28"/>
          <w:szCs w:val="28"/>
        </w:rPr>
        <w:t xml:space="preserve">размер дефицита бюджета поселения </w:t>
      </w:r>
      <w:r>
        <w:rPr>
          <w:rFonts w:ascii="Times New Roman" w:hAnsi="Times New Roman"/>
          <w:sz w:val="28"/>
          <w:szCs w:val="28"/>
        </w:rPr>
        <w:t>не изменится</w:t>
      </w:r>
      <w:r w:rsidRPr="001A67FF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>0,0</w:t>
      </w:r>
      <w:r w:rsidRPr="001A67FF">
        <w:rPr>
          <w:rFonts w:ascii="Times New Roman" w:hAnsi="Times New Roman"/>
          <w:sz w:val="28"/>
          <w:szCs w:val="28"/>
        </w:rPr>
        <w:t xml:space="preserve"> тыс. рублей.</w:t>
      </w:r>
    </w:p>
    <w:p w:rsidR="007C6D90" w:rsidRDefault="00617E92" w:rsidP="0061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7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Проектом решения внесены изменения в финансирование муниципальных программ на 2025 и 2026 годы. Общий объем средств, направляемый на реализацию муниципальных программ, увеличится на 145,6 тыс. рублей ежегодно и составит 1858,2 тыс. рублей ежегодно. </w:t>
      </w:r>
    </w:p>
    <w:p w:rsidR="007C6D90" w:rsidRPr="007C6D90" w:rsidRDefault="007C6D90" w:rsidP="007C6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8A8" w:rsidRDefault="00DC4888" w:rsidP="007C6D90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3D1C0E">
        <w:rPr>
          <w:rFonts w:ascii="Times New Roman" w:hAnsi="Times New Roman"/>
          <w:sz w:val="28"/>
          <w:szCs w:val="28"/>
        </w:rPr>
        <w:t xml:space="preserve">несены соответствующие изменения в приложения к решению от </w:t>
      </w:r>
      <w:r w:rsidR="00611E13">
        <w:rPr>
          <w:rFonts w:ascii="Times New Roman" w:hAnsi="Times New Roman"/>
          <w:sz w:val="28"/>
          <w:szCs w:val="28"/>
        </w:rPr>
        <w:t>1</w:t>
      </w:r>
      <w:r w:rsidR="00611E13" w:rsidRPr="00611E13">
        <w:rPr>
          <w:rFonts w:ascii="Times New Roman" w:hAnsi="Times New Roman"/>
          <w:sz w:val="28"/>
          <w:szCs w:val="28"/>
        </w:rPr>
        <w:t xml:space="preserve">4.12.2023 года № 58 </w:t>
      </w:r>
      <w:r w:rsidR="003D1C0E">
        <w:rPr>
          <w:rFonts w:ascii="Times New Roman" w:hAnsi="Times New Roman"/>
          <w:sz w:val="28"/>
          <w:szCs w:val="28"/>
        </w:rPr>
        <w:t>«О бюджете сельского поселения Алмозерское на 202</w:t>
      </w:r>
      <w:r w:rsidR="00611E1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1E13">
        <w:rPr>
          <w:rFonts w:ascii="Times New Roman" w:hAnsi="Times New Roman"/>
          <w:sz w:val="28"/>
          <w:szCs w:val="28"/>
        </w:rPr>
        <w:t>5</w:t>
      </w:r>
      <w:r w:rsidR="003D1C0E">
        <w:rPr>
          <w:rFonts w:ascii="Times New Roman" w:hAnsi="Times New Roman"/>
          <w:sz w:val="28"/>
          <w:szCs w:val="28"/>
        </w:rPr>
        <w:t xml:space="preserve"> и 202</w:t>
      </w:r>
      <w:r w:rsidR="00611E13">
        <w:rPr>
          <w:rFonts w:ascii="Times New Roman" w:hAnsi="Times New Roman"/>
          <w:sz w:val="28"/>
          <w:szCs w:val="28"/>
        </w:rPr>
        <w:t>6</w:t>
      </w:r>
      <w:r w:rsidR="003D1C0E">
        <w:rPr>
          <w:rFonts w:ascii="Times New Roman" w:hAnsi="Times New Roman"/>
          <w:sz w:val="28"/>
          <w:szCs w:val="28"/>
        </w:rPr>
        <w:t xml:space="preserve"> годов». </w:t>
      </w:r>
      <w:r w:rsidR="003D1C0E">
        <w:t xml:space="preserve">     </w:t>
      </w:r>
    </w:p>
    <w:p w:rsidR="002528A8" w:rsidRDefault="003D1C0E">
      <w:pPr>
        <w:tabs>
          <w:tab w:val="left" w:pos="567"/>
        </w:tabs>
        <w:spacing w:after="0" w:line="240" w:lineRule="auto"/>
        <w:jc w:val="both"/>
      </w:pPr>
      <w:r>
        <w:t xml:space="preserve">   </w:t>
      </w:r>
    </w:p>
    <w:p w:rsidR="002528A8" w:rsidRDefault="003D1C0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DC4888" w:rsidRPr="00DC4888" w:rsidRDefault="0044558A" w:rsidP="00DC48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888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DC4888" w:rsidRPr="00DC4888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DC4888" w:rsidRPr="00DC4888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DC4888" w:rsidRPr="00DC488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A2183A" w:rsidRDefault="00A2183A" w:rsidP="00DC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58A" w:rsidRDefault="00445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8A8" w:rsidRDefault="003D1C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 О.Е. Нестерова </w:t>
      </w:r>
    </w:p>
    <w:sectPr w:rsidR="002528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AD" w:rsidRDefault="008E7DAD">
      <w:pPr>
        <w:spacing w:after="0" w:line="240" w:lineRule="auto"/>
      </w:pPr>
      <w:r>
        <w:separator/>
      </w:r>
    </w:p>
  </w:endnote>
  <w:endnote w:type="continuationSeparator" w:id="0">
    <w:p w:rsidR="008E7DAD" w:rsidRDefault="008E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AD" w:rsidRDefault="008E7DAD">
      <w:pPr>
        <w:spacing w:after="0" w:line="240" w:lineRule="auto"/>
      </w:pPr>
      <w:r>
        <w:separator/>
      </w:r>
    </w:p>
  </w:footnote>
  <w:footnote w:type="continuationSeparator" w:id="0">
    <w:p w:rsidR="008E7DAD" w:rsidRDefault="008E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179"/>
    <w:multiLevelType w:val="hybridMultilevel"/>
    <w:tmpl w:val="3FBC9C8C"/>
    <w:lvl w:ilvl="0" w:tplc="3F7E319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5E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9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0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8"/>
    <w:rsid w:val="000032E9"/>
    <w:rsid w:val="00006702"/>
    <w:rsid w:val="00072EF6"/>
    <w:rsid w:val="00073C2C"/>
    <w:rsid w:val="000A1C8D"/>
    <w:rsid w:val="000D182B"/>
    <w:rsid w:val="001457E1"/>
    <w:rsid w:val="001714D3"/>
    <w:rsid w:val="001803BF"/>
    <w:rsid w:val="001C2595"/>
    <w:rsid w:val="001C6D1F"/>
    <w:rsid w:val="002528A8"/>
    <w:rsid w:val="002C1281"/>
    <w:rsid w:val="00396D3C"/>
    <w:rsid w:val="003A25A9"/>
    <w:rsid w:val="003D1C0E"/>
    <w:rsid w:val="003E2DBB"/>
    <w:rsid w:val="00440A6B"/>
    <w:rsid w:val="0044558A"/>
    <w:rsid w:val="00473C45"/>
    <w:rsid w:val="00500476"/>
    <w:rsid w:val="00563507"/>
    <w:rsid w:val="005678A7"/>
    <w:rsid w:val="005A4E7C"/>
    <w:rsid w:val="00611E13"/>
    <w:rsid w:val="00617E92"/>
    <w:rsid w:val="00631307"/>
    <w:rsid w:val="006A3D89"/>
    <w:rsid w:val="006C6552"/>
    <w:rsid w:val="007C6D90"/>
    <w:rsid w:val="0084276B"/>
    <w:rsid w:val="008516E3"/>
    <w:rsid w:val="008C7917"/>
    <w:rsid w:val="008E7DAD"/>
    <w:rsid w:val="009456A9"/>
    <w:rsid w:val="00962B4A"/>
    <w:rsid w:val="00991DCB"/>
    <w:rsid w:val="009A1253"/>
    <w:rsid w:val="00A2183A"/>
    <w:rsid w:val="00AA6ABE"/>
    <w:rsid w:val="00AC219B"/>
    <w:rsid w:val="00AD17FD"/>
    <w:rsid w:val="00BC0E5B"/>
    <w:rsid w:val="00BD6B37"/>
    <w:rsid w:val="00C23129"/>
    <w:rsid w:val="00D00D43"/>
    <w:rsid w:val="00D33B6E"/>
    <w:rsid w:val="00D52C2B"/>
    <w:rsid w:val="00DC4888"/>
    <w:rsid w:val="00E610C3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D82-9AB9-4774-A772-D76A871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F20B-D964-4312-A2FF-9AC7958B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104</cp:revision>
  <cp:lastPrinted>2024-04-27T07:08:00Z</cp:lastPrinted>
  <dcterms:created xsi:type="dcterms:W3CDTF">2018-05-17T09:59:00Z</dcterms:created>
  <dcterms:modified xsi:type="dcterms:W3CDTF">2024-04-27T07:53:00Z</dcterms:modified>
</cp:coreProperties>
</file>