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A8" w:rsidRDefault="006A3D89">
      <w:pPr>
        <w:jc w:val="center"/>
        <w:rPr>
          <w:lang w:eastAsia="ru-RU"/>
        </w:rPr>
      </w:pPr>
      <w:r w:rsidRPr="00F61F3D">
        <w:rPr>
          <w:noProof/>
          <w:lang w:eastAsia="ru-RU"/>
        </w:rPr>
        <w:drawing>
          <wp:inline distT="0" distB="0" distL="0" distR="0" wp14:anchorId="1B8D5551" wp14:editId="180EC3E5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2528A8" w:rsidRDefault="003D1C0E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2528A8" w:rsidRDefault="003D1C0E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0" o:spid="_x0000_s0" style="position:absolute;left:0;text-align:left;z-index:251660288;mso-wrap-distance-left:9.0pt;mso-wrap-distance-top:0.0pt;mso-wrap-distance-right:9.0pt;mso-wrap-distance-bottom:0.0pt;visibility:visible;" from="0.0pt,13.6pt" to="491.8pt,13.6pt" filled="f" strokecolor="#000000" strokeweight="4.50pt"/>
            </w:pict>
          </mc:Fallback>
        </mc:AlternateContent>
      </w:r>
    </w:p>
    <w:p w:rsidR="002528A8" w:rsidRDefault="003D1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2528A8" w:rsidRDefault="003D1C0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Алмозерское </w:t>
      </w:r>
    </w:p>
    <w:p w:rsidR="002528A8" w:rsidRDefault="005678A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16E3">
        <w:rPr>
          <w:rFonts w:ascii="Times New Roman" w:hAnsi="Times New Roman"/>
          <w:sz w:val="28"/>
          <w:szCs w:val="28"/>
        </w:rPr>
        <w:t>0</w:t>
      </w:r>
      <w:r w:rsidR="003D1C0E">
        <w:rPr>
          <w:rFonts w:ascii="Times New Roman" w:hAnsi="Times New Roman"/>
          <w:sz w:val="28"/>
          <w:szCs w:val="28"/>
        </w:rPr>
        <w:t>.</w:t>
      </w:r>
      <w:r w:rsidR="008516E3">
        <w:rPr>
          <w:rFonts w:ascii="Times New Roman" w:hAnsi="Times New Roman"/>
          <w:sz w:val="28"/>
          <w:szCs w:val="28"/>
        </w:rPr>
        <w:t>0</w:t>
      </w:r>
      <w:r w:rsidR="00563507">
        <w:rPr>
          <w:rFonts w:ascii="Times New Roman" w:hAnsi="Times New Roman"/>
          <w:sz w:val="28"/>
          <w:szCs w:val="28"/>
        </w:rPr>
        <w:t>2</w:t>
      </w:r>
      <w:r w:rsidR="003D1C0E">
        <w:rPr>
          <w:rFonts w:ascii="Times New Roman" w:hAnsi="Times New Roman"/>
          <w:sz w:val="28"/>
          <w:szCs w:val="28"/>
        </w:rPr>
        <w:t>.202</w:t>
      </w:r>
      <w:r w:rsidR="008516E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г. Вытегра</w:t>
      </w:r>
    </w:p>
    <w:p w:rsidR="002528A8" w:rsidRDefault="003D1C0E">
      <w:pPr>
        <w:tabs>
          <w:tab w:val="left" w:pos="567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Алмозерское «О внесении изменений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 xml:space="preserve">14.12.2023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Алмозерское и Представительным Собранием Вытегорского муниципального района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   </w:t>
      </w:r>
      <w:r>
        <w:rPr>
          <w:sz w:val="28"/>
          <w:szCs w:val="28"/>
        </w:rPr>
        <w:t xml:space="preserve">       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Алмозерское от </w:t>
      </w:r>
      <w:r w:rsidR="008516E3">
        <w:rPr>
          <w:rFonts w:ascii="Times New Roman" w:hAnsi="Times New Roman"/>
          <w:sz w:val="28"/>
          <w:szCs w:val="28"/>
        </w:rPr>
        <w:t>14.12.2023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="008516E3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Алмозерское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51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51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 </w:t>
      </w:r>
    </w:p>
    <w:p w:rsidR="002528A8" w:rsidRDefault="003D1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внести изменения </w:t>
      </w:r>
      <w:r w:rsidR="00563507">
        <w:rPr>
          <w:rFonts w:ascii="Times New Roman" w:hAnsi="Times New Roman"/>
          <w:sz w:val="28"/>
          <w:szCs w:val="28"/>
        </w:rPr>
        <w:t>в</w:t>
      </w:r>
      <w:r w:rsidR="005678A7">
        <w:rPr>
          <w:rFonts w:ascii="Times New Roman" w:hAnsi="Times New Roman"/>
          <w:sz w:val="28"/>
          <w:szCs w:val="28"/>
        </w:rPr>
        <w:t xml:space="preserve"> </w:t>
      </w:r>
      <w:r w:rsidR="008516E3">
        <w:rPr>
          <w:rFonts w:ascii="Times New Roman" w:hAnsi="Times New Roman"/>
          <w:sz w:val="28"/>
          <w:szCs w:val="28"/>
        </w:rPr>
        <w:t>расходную ч</w:t>
      </w:r>
      <w:r>
        <w:rPr>
          <w:rFonts w:ascii="Times New Roman" w:hAnsi="Times New Roman"/>
          <w:sz w:val="28"/>
          <w:szCs w:val="28"/>
        </w:rPr>
        <w:t>аст</w:t>
      </w:r>
      <w:r w:rsidR="005635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бюджета поселения</w:t>
      </w:r>
      <w:r w:rsidR="008516E3">
        <w:rPr>
          <w:rFonts w:ascii="Times New Roman" w:hAnsi="Times New Roman"/>
          <w:sz w:val="28"/>
          <w:szCs w:val="28"/>
        </w:rPr>
        <w:t xml:space="preserve"> </w:t>
      </w:r>
      <w:r w:rsidR="005678A7">
        <w:rPr>
          <w:rFonts w:ascii="Times New Roman" w:hAnsi="Times New Roman"/>
          <w:sz w:val="28"/>
          <w:szCs w:val="28"/>
        </w:rPr>
        <w:t>на 202</w:t>
      </w:r>
      <w:r w:rsidR="008516E3">
        <w:rPr>
          <w:rFonts w:ascii="Times New Roman" w:hAnsi="Times New Roman"/>
          <w:sz w:val="28"/>
          <w:szCs w:val="28"/>
        </w:rPr>
        <w:t>4</w:t>
      </w:r>
      <w:r w:rsidR="005678A7">
        <w:rPr>
          <w:rFonts w:ascii="Times New Roman" w:hAnsi="Times New Roman"/>
          <w:sz w:val="28"/>
          <w:szCs w:val="28"/>
        </w:rPr>
        <w:t xml:space="preserve"> год</w:t>
      </w:r>
      <w:r w:rsidR="008516E3">
        <w:rPr>
          <w:rFonts w:ascii="Times New Roman" w:hAnsi="Times New Roman"/>
          <w:sz w:val="28"/>
          <w:szCs w:val="28"/>
        </w:rPr>
        <w:t>, утвердить дефицит бюджета на 2024 год в сумме 73,5 тыс. рублей.</w:t>
      </w:r>
      <w:r>
        <w:rPr>
          <w:rFonts w:ascii="Times New Roman" w:hAnsi="Times New Roman"/>
          <w:sz w:val="28"/>
          <w:szCs w:val="28"/>
        </w:rPr>
        <w:t xml:space="preserve"> Изменения в показатели бюджета поселения на 202</w:t>
      </w:r>
      <w:r w:rsidR="008516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440A6B" w:rsidRPr="00440A6B" w:rsidRDefault="00440A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A6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440A6B">
        <w:rPr>
          <w:rFonts w:ascii="Times New Roman" w:hAnsi="Times New Roman"/>
          <w:sz w:val="20"/>
          <w:szCs w:val="20"/>
        </w:rPr>
        <w:t xml:space="preserve">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2528A8">
        <w:trPr>
          <w:trHeight w:val="541"/>
        </w:trPr>
        <w:tc>
          <w:tcPr>
            <w:tcW w:w="3626" w:type="dxa"/>
            <w:noWrap/>
          </w:tcPr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28A8" w:rsidRDefault="002528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528A8" w:rsidRDefault="003D1C0E" w:rsidP="00851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</w:t>
            </w:r>
            <w:r w:rsidR="008516E3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.12.2</w:t>
            </w:r>
            <w:r w:rsidR="008516E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8516E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677" w:type="dxa"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106" w:type="dxa"/>
            <w:noWrap/>
          </w:tcPr>
          <w:p w:rsidR="002528A8" w:rsidRDefault="003D1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изменения</w:t>
            </w:r>
          </w:p>
        </w:tc>
      </w:tr>
      <w:tr w:rsidR="005678A7" w:rsidTr="00156F8A">
        <w:trPr>
          <w:trHeight w:val="300"/>
        </w:trPr>
        <w:tc>
          <w:tcPr>
            <w:tcW w:w="3626" w:type="dxa"/>
            <w:noWrap/>
          </w:tcPr>
          <w:p w:rsidR="005678A7" w:rsidRDefault="005678A7" w:rsidP="005678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7469,2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7469,2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8A7" w:rsidRPr="005678A7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16E3" w:rsidTr="00156F8A">
        <w:trPr>
          <w:trHeight w:val="300"/>
        </w:trPr>
        <w:tc>
          <w:tcPr>
            <w:tcW w:w="3626" w:type="dxa"/>
            <w:noWrap/>
          </w:tcPr>
          <w:p w:rsidR="008516E3" w:rsidRDefault="008516E3" w:rsidP="00851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16E3" w:rsidTr="00156F8A">
        <w:trPr>
          <w:trHeight w:val="300"/>
        </w:trPr>
        <w:tc>
          <w:tcPr>
            <w:tcW w:w="3626" w:type="dxa"/>
            <w:noWrap/>
          </w:tcPr>
          <w:p w:rsidR="008516E3" w:rsidRDefault="008516E3" w:rsidP="008516E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78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16E3" w:rsidRPr="005678A7" w:rsidRDefault="008516E3" w:rsidP="008516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28A8">
        <w:trPr>
          <w:trHeight w:val="300"/>
        </w:trPr>
        <w:tc>
          <w:tcPr>
            <w:tcW w:w="3626" w:type="dxa"/>
            <w:noWrap/>
          </w:tcPr>
          <w:p w:rsidR="002528A8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Расходы, всего (тыс. рублей)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7469,2</w:t>
            </w:r>
          </w:p>
        </w:tc>
        <w:tc>
          <w:tcPr>
            <w:tcW w:w="167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7542,7</w:t>
            </w:r>
          </w:p>
        </w:tc>
        <w:tc>
          <w:tcPr>
            <w:tcW w:w="12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8516E3" w:rsidP="005635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+ 73,5</w:t>
            </w:r>
          </w:p>
        </w:tc>
        <w:tc>
          <w:tcPr>
            <w:tcW w:w="11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28A8" w:rsidRPr="00440A6B" w:rsidRDefault="008516E3" w:rsidP="008516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+ 1,0</w:t>
            </w:r>
          </w:p>
        </w:tc>
      </w:tr>
      <w:tr w:rsidR="002528A8">
        <w:trPr>
          <w:trHeight w:val="300"/>
        </w:trPr>
        <w:tc>
          <w:tcPr>
            <w:tcW w:w="3626" w:type="dxa"/>
            <w:noWrap/>
          </w:tcPr>
          <w:p w:rsidR="002528A8" w:rsidRDefault="003D1C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2528A8" w:rsidRPr="00440A6B" w:rsidRDefault="00851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77" w:type="dxa"/>
            <w:noWrap/>
          </w:tcPr>
          <w:p w:rsidR="002528A8" w:rsidRPr="00440A6B" w:rsidRDefault="008516E3" w:rsidP="00851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- 73,5</w:t>
            </w:r>
          </w:p>
        </w:tc>
        <w:tc>
          <w:tcPr>
            <w:tcW w:w="1259" w:type="dxa"/>
            <w:noWrap/>
          </w:tcPr>
          <w:p w:rsidR="002528A8" w:rsidRPr="00440A6B" w:rsidRDefault="00563507" w:rsidP="008516E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8516E3">
              <w:rPr>
                <w:rFonts w:ascii="Times New Roman" w:hAnsi="Times New Roman"/>
                <w:b/>
                <w:sz w:val="18"/>
                <w:szCs w:val="18"/>
              </w:rPr>
              <w:t>73,5</w:t>
            </w:r>
          </w:p>
        </w:tc>
        <w:tc>
          <w:tcPr>
            <w:tcW w:w="1106" w:type="dxa"/>
            <w:noWrap/>
          </w:tcPr>
          <w:p w:rsidR="002528A8" w:rsidRPr="00440A6B" w:rsidRDefault="00252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0A6B" w:rsidRPr="00440A6B" w:rsidRDefault="003D1C0E" w:rsidP="00440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507">
        <w:rPr>
          <w:rFonts w:ascii="Times New Roman" w:hAnsi="Times New Roman"/>
          <w:sz w:val="28"/>
          <w:szCs w:val="28"/>
        </w:rPr>
        <w:t>П</w:t>
      </w:r>
      <w:r w:rsidR="00440A6B" w:rsidRPr="00440A6B">
        <w:rPr>
          <w:rFonts w:ascii="Times New Roman" w:hAnsi="Times New Roman"/>
          <w:sz w:val="28"/>
          <w:szCs w:val="28"/>
        </w:rPr>
        <w:t xml:space="preserve">лановый объем доходов бюджета </w:t>
      </w:r>
      <w:r w:rsidR="008516E3">
        <w:rPr>
          <w:rFonts w:ascii="Times New Roman" w:hAnsi="Times New Roman"/>
          <w:sz w:val="28"/>
          <w:szCs w:val="28"/>
        </w:rPr>
        <w:t xml:space="preserve">на </w:t>
      </w:r>
      <w:r w:rsidR="00440A6B" w:rsidRPr="00440A6B">
        <w:rPr>
          <w:rFonts w:ascii="Times New Roman" w:hAnsi="Times New Roman"/>
          <w:sz w:val="28"/>
          <w:szCs w:val="28"/>
        </w:rPr>
        <w:t>202</w:t>
      </w:r>
      <w:r w:rsidR="008516E3">
        <w:rPr>
          <w:rFonts w:ascii="Times New Roman" w:hAnsi="Times New Roman"/>
          <w:sz w:val="28"/>
          <w:szCs w:val="28"/>
        </w:rPr>
        <w:t>4</w:t>
      </w:r>
      <w:r w:rsidR="00440A6B" w:rsidRPr="00440A6B">
        <w:rPr>
          <w:rFonts w:ascii="Times New Roman" w:hAnsi="Times New Roman"/>
          <w:sz w:val="28"/>
          <w:szCs w:val="28"/>
        </w:rPr>
        <w:t xml:space="preserve"> год </w:t>
      </w:r>
      <w:r w:rsidR="008516E3">
        <w:rPr>
          <w:rFonts w:ascii="Times New Roman" w:hAnsi="Times New Roman"/>
          <w:sz w:val="28"/>
          <w:szCs w:val="28"/>
        </w:rPr>
        <w:t xml:space="preserve">не изменится. </w:t>
      </w:r>
    </w:p>
    <w:p w:rsidR="008516E3" w:rsidRDefault="003D1C0E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91DCB" w:rsidRPr="00991DCB">
        <w:rPr>
          <w:rFonts w:ascii="Times New Roman" w:hAnsi="Times New Roman"/>
          <w:iCs/>
          <w:sz w:val="28"/>
          <w:szCs w:val="28"/>
        </w:rPr>
        <w:t>Р</w:t>
      </w:r>
      <w:r w:rsidR="00991DCB" w:rsidRPr="00991DCB">
        <w:rPr>
          <w:rFonts w:ascii="Times New Roman" w:hAnsi="Times New Roman"/>
          <w:sz w:val="28"/>
          <w:szCs w:val="28"/>
        </w:rPr>
        <w:t xml:space="preserve">асходная часть бюджета </w:t>
      </w:r>
      <w:r w:rsidR="008516E3">
        <w:rPr>
          <w:rFonts w:ascii="Times New Roman" w:hAnsi="Times New Roman"/>
          <w:sz w:val="28"/>
          <w:szCs w:val="28"/>
        </w:rPr>
        <w:t xml:space="preserve">увеличится на 73,5 тыс. рублей, или на 1,0 %.  </w:t>
      </w:r>
      <w:r w:rsidR="00D33B6E">
        <w:rPr>
          <w:rFonts w:ascii="Times New Roman" w:hAnsi="Times New Roman"/>
          <w:sz w:val="28"/>
          <w:szCs w:val="28"/>
        </w:rPr>
        <w:t xml:space="preserve">   </w:t>
      </w:r>
      <w:r w:rsidR="00DC4888">
        <w:rPr>
          <w:rFonts w:ascii="Times New Roman" w:hAnsi="Times New Roman"/>
          <w:sz w:val="28"/>
          <w:szCs w:val="28"/>
        </w:rPr>
        <w:t xml:space="preserve">  </w:t>
      </w:r>
      <w:r w:rsidR="00D33B6E">
        <w:rPr>
          <w:rFonts w:ascii="Times New Roman" w:hAnsi="Times New Roman"/>
          <w:sz w:val="28"/>
          <w:szCs w:val="28"/>
        </w:rPr>
        <w:t xml:space="preserve">   </w:t>
      </w:r>
    </w:p>
    <w:p w:rsidR="008516E3" w:rsidRDefault="008516E3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предлагается увеличить объем расходов </w:t>
      </w:r>
      <w:r w:rsidR="00BD6B37">
        <w:rPr>
          <w:rFonts w:ascii="Times New Roman" w:hAnsi="Times New Roman"/>
          <w:sz w:val="28"/>
          <w:szCs w:val="28"/>
        </w:rPr>
        <w:t xml:space="preserve">по разделу </w:t>
      </w:r>
      <w:r w:rsidR="00BD6B37" w:rsidRPr="00BD6B37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BD6B37">
        <w:rPr>
          <w:rFonts w:ascii="Times New Roman" w:hAnsi="Times New Roman"/>
          <w:sz w:val="28"/>
          <w:szCs w:val="28"/>
        </w:rPr>
        <w:t xml:space="preserve"> на 73,5 тыс. рублей (+2,3 %), в том числе</w:t>
      </w:r>
      <w:r w:rsidR="00BD6B37" w:rsidRPr="00BD6B37">
        <w:rPr>
          <w:rFonts w:ascii="Times New Roman" w:hAnsi="Times New Roman"/>
          <w:sz w:val="28"/>
          <w:szCs w:val="28"/>
        </w:rPr>
        <w:t>:</w:t>
      </w:r>
    </w:p>
    <w:p w:rsidR="009A1253" w:rsidRDefault="00BD6B37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9A1253">
        <w:rPr>
          <w:rFonts w:ascii="Times New Roman" w:hAnsi="Times New Roman"/>
          <w:i/>
          <w:sz w:val="28"/>
          <w:szCs w:val="28"/>
        </w:rPr>
        <w:t>0102 «</w:t>
      </w:r>
      <w:r w:rsidR="009A1253" w:rsidRPr="009A1253">
        <w:rPr>
          <w:rFonts w:ascii="Times New Roman" w:hAnsi="Times New Roman"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 w:rsidR="009A1253">
        <w:rPr>
          <w:rFonts w:ascii="Times New Roman" w:hAnsi="Times New Roman"/>
          <w:i/>
          <w:sz w:val="28"/>
          <w:szCs w:val="28"/>
        </w:rPr>
        <w:t xml:space="preserve"> </w:t>
      </w:r>
      <w:r w:rsidR="009A1253" w:rsidRPr="009A1253">
        <w:rPr>
          <w:rFonts w:ascii="Times New Roman" w:hAnsi="Times New Roman"/>
          <w:sz w:val="28"/>
          <w:szCs w:val="28"/>
        </w:rPr>
        <w:t>на 72,3 тыс. рублей</w:t>
      </w:r>
      <w:r w:rsidR="009A1253">
        <w:rPr>
          <w:rFonts w:ascii="Times New Roman" w:hAnsi="Times New Roman"/>
          <w:sz w:val="28"/>
          <w:szCs w:val="28"/>
        </w:rPr>
        <w:t xml:space="preserve"> (</w:t>
      </w:r>
      <w:r w:rsidR="009A1253" w:rsidRPr="009A1253">
        <w:rPr>
          <w:rFonts w:ascii="Times New Roman" w:hAnsi="Times New Roman"/>
          <w:sz w:val="28"/>
          <w:szCs w:val="28"/>
        </w:rPr>
        <w:t>расходы на выплаты Главе</w:t>
      </w:r>
      <w:r w:rsidR="009A1253">
        <w:rPr>
          <w:rFonts w:ascii="Times New Roman" w:hAnsi="Times New Roman"/>
          <w:sz w:val="28"/>
          <w:szCs w:val="28"/>
        </w:rPr>
        <w:t>)</w:t>
      </w:r>
      <w:r w:rsidR="009A1253" w:rsidRPr="009A1253">
        <w:rPr>
          <w:rFonts w:ascii="Times New Roman" w:hAnsi="Times New Roman"/>
          <w:sz w:val="28"/>
          <w:szCs w:val="28"/>
        </w:rPr>
        <w:t>;</w:t>
      </w:r>
    </w:p>
    <w:p w:rsidR="00D33B6E" w:rsidRDefault="009A1253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9A1253">
        <w:rPr>
          <w:rFonts w:ascii="Times New Roman" w:hAnsi="Times New Roman"/>
          <w:sz w:val="28"/>
          <w:szCs w:val="28"/>
        </w:rPr>
        <w:t xml:space="preserve"> по подразделу </w:t>
      </w:r>
      <w:r w:rsidRPr="009A1253">
        <w:rPr>
          <w:rFonts w:ascii="Times New Roman" w:hAnsi="Times New Roman"/>
          <w:i/>
          <w:sz w:val="28"/>
          <w:szCs w:val="28"/>
        </w:rPr>
        <w:t>010</w:t>
      </w:r>
      <w:r>
        <w:rPr>
          <w:rFonts w:ascii="Times New Roman" w:hAnsi="Times New Roman"/>
          <w:i/>
          <w:sz w:val="28"/>
          <w:szCs w:val="28"/>
        </w:rPr>
        <w:t>4 «</w:t>
      </w:r>
      <w:r w:rsidR="00D33B6E" w:rsidRPr="00991DCB">
        <w:rPr>
          <w:rFonts w:ascii="Times New Roman" w:hAnsi="Times New Roman"/>
          <w:i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</w:t>
      </w:r>
      <w:r w:rsidR="00D33B6E" w:rsidRPr="00991DCB">
        <w:rPr>
          <w:rFonts w:ascii="Times New Roman" w:hAnsi="Times New Roman"/>
          <w:i/>
          <w:sz w:val="28"/>
          <w:szCs w:val="28"/>
        </w:rPr>
        <w:lastRenderedPageBreak/>
        <w:t>субъектов Российской Федерации, местной администрации»</w:t>
      </w:r>
      <w:r w:rsidR="00D33B6E">
        <w:rPr>
          <w:rFonts w:ascii="Times New Roman" w:hAnsi="Times New Roman"/>
          <w:i/>
          <w:sz w:val="28"/>
          <w:szCs w:val="28"/>
        </w:rPr>
        <w:t xml:space="preserve"> </w:t>
      </w:r>
      <w:r w:rsidRPr="009A1253">
        <w:rPr>
          <w:rFonts w:ascii="Times New Roman" w:hAnsi="Times New Roman"/>
          <w:sz w:val="28"/>
          <w:szCs w:val="28"/>
        </w:rPr>
        <w:t xml:space="preserve">на 1,2 тыс. рублей (расходы на закупки). </w:t>
      </w:r>
    </w:p>
    <w:p w:rsidR="000D182B" w:rsidRPr="000D182B" w:rsidRDefault="009A1253" w:rsidP="000D18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1253">
        <w:rPr>
          <w:rFonts w:ascii="Times New Roman" w:hAnsi="Times New Roman"/>
          <w:sz w:val="28"/>
          <w:szCs w:val="28"/>
        </w:rPr>
        <w:t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</w:t>
      </w:r>
      <w:r>
        <w:rPr>
          <w:rFonts w:ascii="Times New Roman" w:hAnsi="Times New Roman"/>
          <w:sz w:val="28"/>
          <w:szCs w:val="28"/>
        </w:rPr>
        <w:t>4</w:t>
      </w:r>
      <w:r w:rsidRPr="009A1253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1588,7</w:t>
      </w:r>
      <w:r w:rsidRPr="009A1253">
        <w:rPr>
          <w:rFonts w:ascii="Times New Roman" w:hAnsi="Times New Roman"/>
          <w:sz w:val="28"/>
          <w:szCs w:val="28"/>
        </w:rPr>
        <w:t xml:space="preserve"> тыс. рублей, что соответствует</w:t>
      </w:r>
      <w:r w:rsidR="00611E13">
        <w:rPr>
          <w:rFonts w:ascii="Times New Roman" w:hAnsi="Times New Roman"/>
          <w:sz w:val="28"/>
          <w:szCs w:val="28"/>
        </w:rPr>
        <w:t xml:space="preserve"> нормативу</w:t>
      </w:r>
      <w:r w:rsidRPr="009A1253">
        <w:rPr>
          <w:rFonts w:ascii="Times New Roman" w:hAnsi="Times New Roman"/>
          <w:sz w:val="28"/>
          <w:szCs w:val="28"/>
        </w:rPr>
        <w:t xml:space="preserve"> </w:t>
      </w:r>
      <w:r w:rsidR="000D182B" w:rsidRPr="000D182B">
        <w:rPr>
          <w:rFonts w:ascii="Times New Roman" w:hAnsi="Times New Roman"/>
          <w:sz w:val="28"/>
          <w:szCs w:val="28"/>
        </w:rPr>
        <w:t>2</w:t>
      </w:r>
      <w:r w:rsidR="000D182B">
        <w:rPr>
          <w:rFonts w:ascii="Times New Roman" w:hAnsi="Times New Roman"/>
          <w:sz w:val="28"/>
          <w:szCs w:val="28"/>
        </w:rPr>
        <w:t xml:space="preserve">502,72 </w:t>
      </w:r>
      <w:r w:rsidR="000D182B" w:rsidRPr="000D182B">
        <w:rPr>
          <w:rFonts w:ascii="Times New Roman" w:hAnsi="Times New Roman"/>
          <w:sz w:val="28"/>
          <w:szCs w:val="28"/>
        </w:rPr>
        <w:t>тыс. рублей, установленн</w:t>
      </w:r>
      <w:r w:rsidR="00611E13">
        <w:rPr>
          <w:rFonts w:ascii="Times New Roman" w:hAnsi="Times New Roman"/>
          <w:sz w:val="28"/>
          <w:szCs w:val="28"/>
        </w:rPr>
        <w:t xml:space="preserve">ому </w:t>
      </w:r>
      <w:r w:rsidR="000D182B" w:rsidRPr="000D182B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1,20, применяемого к нормативу для органов местного самоуправления городских и сельских поселений, реализовавших начиная с 2009 года инициативу о преобразовании поселений области путем их объединения, с численностью населения до 3,5 тыс. человек.</w:t>
      </w:r>
    </w:p>
    <w:p w:rsidR="009A1253" w:rsidRPr="009A1253" w:rsidRDefault="00DC4888" w:rsidP="009A12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1253">
        <w:rPr>
          <w:rFonts w:ascii="Times New Roman" w:hAnsi="Times New Roman"/>
          <w:sz w:val="28"/>
          <w:szCs w:val="28"/>
        </w:rPr>
        <w:t xml:space="preserve">В результате внесенных изменений в расходную часть бюджета дефицит бюджета составит 73,5 тыс. рублей. </w:t>
      </w:r>
      <w:r w:rsidR="009A1253" w:rsidRPr="009A1253">
        <w:rPr>
          <w:rFonts w:ascii="Times New Roman" w:hAnsi="Times New Roman"/>
          <w:sz w:val="28"/>
          <w:szCs w:val="28"/>
        </w:rPr>
        <w:t>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</w:t>
      </w:r>
      <w:r w:rsidR="009A1253">
        <w:rPr>
          <w:rFonts w:ascii="Times New Roman" w:hAnsi="Times New Roman"/>
          <w:sz w:val="28"/>
          <w:szCs w:val="28"/>
        </w:rPr>
        <w:t>4</w:t>
      </w:r>
      <w:r w:rsidR="009A1253" w:rsidRPr="009A1253">
        <w:rPr>
          <w:rFonts w:ascii="Times New Roman" w:hAnsi="Times New Roman"/>
          <w:sz w:val="28"/>
          <w:szCs w:val="28"/>
        </w:rPr>
        <w:t xml:space="preserve"> года.</w:t>
      </w:r>
    </w:p>
    <w:p w:rsidR="00D33B6E" w:rsidRDefault="00DC4888" w:rsidP="00962B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изменения в финансирование муниципальных программ на 202</w:t>
      </w:r>
      <w:r w:rsidR="009A12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не вносились. </w:t>
      </w:r>
    </w:p>
    <w:p w:rsidR="002528A8" w:rsidRDefault="00DC4888" w:rsidP="0044558A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3D1C0E">
        <w:rPr>
          <w:rFonts w:ascii="Times New Roman" w:hAnsi="Times New Roman"/>
          <w:sz w:val="28"/>
          <w:szCs w:val="28"/>
        </w:rPr>
        <w:t xml:space="preserve">несены соответствующие изменения в приложения к решению от </w:t>
      </w:r>
      <w:r w:rsidR="00611E13">
        <w:rPr>
          <w:rFonts w:ascii="Times New Roman" w:hAnsi="Times New Roman"/>
          <w:sz w:val="28"/>
          <w:szCs w:val="28"/>
        </w:rPr>
        <w:t>1</w:t>
      </w:r>
      <w:r w:rsidR="00611E13" w:rsidRPr="00611E13">
        <w:rPr>
          <w:rFonts w:ascii="Times New Roman" w:hAnsi="Times New Roman"/>
          <w:sz w:val="28"/>
          <w:szCs w:val="28"/>
        </w:rPr>
        <w:t xml:space="preserve">4.12.2023 года № 58 </w:t>
      </w:r>
      <w:r w:rsidR="003D1C0E">
        <w:rPr>
          <w:rFonts w:ascii="Times New Roman" w:hAnsi="Times New Roman"/>
          <w:sz w:val="28"/>
          <w:szCs w:val="28"/>
        </w:rPr>
        <w:t>«О бюджете сельского поселения Алмозерское на 202</w:t>
      </w:r>
      <w:r w:rsidR="00611E13">
        <w:rPr>
          <w:rFonts w:ascii="Times New Roman" w:hAnsi="Times New Roman"/>
          <w:sz w:val="28"/>
          <w:szCs w:val="28"/>
        </w:rPr>
        <w:t>4</w:t>
      </w:r>
      <w:r w:rsidR="003D1C0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1E13">
        <w:rPr>
          <w:rFonts w:ascii="Times New Roman" w:hAnsi="Times New Roman"/>
          <w:sz w:val="28"/>
          <w:szCs w:val="28"/>
        </w:rPr>
        <w:t>5</w:t>
      </w:r>
      <w:r w:rsidR="003D1C0E">
        <w:rPr>
          <w:rFonts w:ascii="Times New Roman" w:hAnsi="Times New Roman"/>
          <w:sz w:val="28"/>
          <w:szCs w:val="28"/>
        </w:rPr>
        <w:t xml:space="preserve"> и 202</w:t>
      </w:r>
      <w:r w:rsidR="00611E13">
        <w:rPr>
          <w:rFonts w:ascii="Times New Roman" w:hAnsi="Times New Roman"/>
          <w:sz w:val="28"/>
          <w:szCs w:val="28"/>
        </w:rPr>
        <w:t>6</w:t>
      </w:r>
      <w:r w:rsidR="003D1C0E">
        <w:rPr>
          <w:rFonts w:ascii="Times New Roman" w:hAnsi="Times New Roman"/>
          <w:sz w:val="28"/>
          <w:szCs w:val="28"/>
        </w:rPr>
        <w:t xml:space="preserve"> годов». </w:t>
      </w:r>
      <w:r w:rsidR="003D1C0E">
        <w:t xml:space="preserve">     </w:t>
      </w:r>
    </w:p>
    <w:p w:rsidR="002528A8" w:rsidRDefault="003D1C0E">
      <w:pPr>
        <w:tabs>
          <w:tab w:val="left" w:pos="567"/>
        </w:tabs>
        <w:spacing w:after="0" w:line="240" w:lineRule="auto"/>
        <w:jc w:val="both"/>
      </w:pPr>
      <w:r>
        <w:t xml:space="preserve">   </w:t>
      </w:r>
    </w:p>
    <w:p w:rsidR="002528A8" w:rsidRDefault="003D1C0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DC4888" w:rsidRPr="00DC4888" w:rsidRDefault="0044558A" w:rsidP="00DC48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4888" w:rsidRPr="00DC4888">
        <w:rPr>
          <w:rFonts w:ascii="Times New Roman" w:hAnsi="Times New Roman"/>
          <w:sz w:val="28"/>
          <w:szCs w:val="28"/>
        </w:rPr>
        <w:t xml:space="preserve">Внесение изменений в решение о бюджете поселения является обоснованным. Представленный проект решения </w:t>
      </w:r>
      <w:r w:rsidR="00DC4888" w:rsidRPr="00DC4888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DC4888" w:rsidRPr="00DC4888">
        <w:rPr>
          <w:rFonts w:ascii="Times New Roman" w:hAnsi="Times New Roman"/>
          <w:sz w:val="28"/>
          <w:szCs w:val="28"/>
        </w:rPr>
        <w:t xml:space="preserve">требованиям бюджетного законодательства и рекомендуется </w:t>
      </w:r>
      <w:r w:rsidR="00DC4888" w:rsidRPr="00DC4888">
        <w:rPr>
          <w:rFonts w:ascii="Times New Roman" w:hAnsi="Times New Roman"/>
          <w:b/>
          <w:sz w:val="28"/>
          <w:szCs w:val="28"/>
        </w:rPr>
        <w:t>к рассмотрению.</w:t>
      </w:r>
    </w:p>
    <w:p w:rsidR="00A2183A" w:rsidRDefault="00A2183A" w:rsidP="00DC4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58A" w:rsidRDefault="00445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8A8" w:rsidRDefault="003D1C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 Ревизионной комиссии                                                   О.Е. Нестерова </w:t>
      </w:r>
    </w:p>
    <w:sectPr w:rsidR="002528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81" w:rsidRDefault="002C1281">
      <w:pPr>
        <w:spacing w:after="0" w:line="240" w:lineRule="auto"/>
      </w:pPr>
      <w:r>
        <w:separator/>
      </w:r>
    </w:p>
  </w:endnote>
  <w:endnote w:type="continuationSeparator" w:id="0">
    <w:p w:rsidR="002C1281" w:rsidRDefault="002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81" w:rsidRDefault="002C1281">
      <w:pPr>
        <w:spacing w:after="0" w:line="240" w:lineRule="auto"/>
      </w:pPr>
      <w:r>
        <w:separator/>
      </w:r>
    </w:p>
  </w:footnote>
  <w:footnote w:type="continuationSeparator" w:id="0">
    <w:p w:rsidR="002C1281" w:rsidRDefault="002C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0179"/>
    <w:multiLevelType w:val="hybridMultilevel"/>
    <w:tmpl w:val="3FBC9C8C"/>
    <w:lvl w:ilvl="0" w:tplc="3F7E319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5E73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69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4E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49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0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C6B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04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A8"/>
    <w:rsid w:val="000032E9"/>
    <w:rsid w:val="00072EF6"/>
    <w:rsid w:val="000A1C8D"/>
    <w:rsid w:val="000D182B"/>
    <w:rsid w:val="001714D3"/>
    <w:rsid w:val="001803BF"/>
    <w:rsid w:val="001C2595"/>
    <w:rsid w:val="001C6D1F"/>
    <w:rsid w:val="002528A8"/>
    <w:rsid w:val="002C1281"/>
    <w:rsid w:val="00396D3C"/>
    <w:rsid w:val="003D1C0E"/>
    <w:rsid w:val="003E2DBB"/>
    <w:rsid w:val="00440A6B"/>
    <w:rsid w:val="0044558A"/>
    <w:rsid w:val="00500476"/>
    <w:rsid w:val="00563507"/>
    <w:rsid w:val="005678A7"/>
    <w:rsid w:val="005A4E7C"/>
    <w:rsid w:val="00611E13"/>
    <w:rsid w:val="00631307"/>
    <w:rsid w:val="006A3D89"/>
    <w:rsid w:val="006C6552"/>
    <w:rsid w:val="0084276B"/>
    <w:rsid w:val="008516E3"/>
    <w:rsid w:val="00962B4A"/>
    <w:rsid w:val="00991DCB"/>
    <w:rsid w:val="009A1253"/>
    <w:rsid w:val="00A2183A"/>
    <w:rsid w:val="00AC219B"/>
    <w:rsid w:val="00BD6B37"/>
    <w:rsid w:val="00C23129"/>
    <w:rsid w:val="00D33B6E"/>
    <w:rsid w:val="00D52C2B"/>
    <w:rsid w:val="00DC4888"/>
    <w:rsid w:val="00E610C3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05D82-9AB9-4774-A772-D76A871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1749-A0BD-45C7-A3A2-AD91494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100</cp:revision>
  <cp:lastPrinted>2024-02-20T14:24:00Z</cp:lastPrinted>
  <dcterms:created xsi:type="dcterms:W3CDTF">2018-05-17T09:59:00Z</dcterms:created>
  <dcterms:modified xsi:type="dcterms:W3CDTF">2024-02-20T14:24:00Z</dcterms:modified>
</cp:coreProperties>
</file>