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868005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rotation:0;" stroked="f" strokeweight="0.75pt">
                <v:path textboxrect="0,0,0,0"/>
                <v:imagedata r:id="rId10" o:title=""/>
              </v:shape>
            </w:pict>
          </mc:Fallback>
        </mc:AlternateContent>
      </w:r>
      <w:r/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highlight w:val="none"/>
        </w:rPr>
      </w:r>
      <w:r>
        <w:rPr>
          <w:rFonts w:ascii="Times New Roman" w:hAnsi="Times New Roman"/>
          <w:b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highlight w:val="none"/>
        </w:rPr>
      </w:pPr>
      <w:r/>
      <w:bookmarkStart w:id="0" w:name="_GoBack"/>
      <w:r/>
      <w:bookmarkEnd w:id="0"/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bCs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8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09" r="35560" b="3746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Вытегра»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16.</w:t>
      </w:r>
      <w:r>
        <w:rPr>
          <w:rFonts w:ascii="Times New Roman" w:hAnsi="Times New Roman"/>
          <w:sz w:val="28"/>
          <w:szCs w:val="28"/>
        </w:rPr>
        <w:t xml:space="preserve">04.2024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14.12.2023 № 78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заключенного </w:t>
      </w:r>
      <w:r>
        <w:rPr>
          <w:rFonts w:ascii="Times New Roman" w:hAnsi="Times New Roman"/>
          <w:sz w:val="28"/>
          <w:szCs w:val="28"/>
        </w:rPr>
        <w:t xml:space="preserve">на 2024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оглашения между </w:t>
      </w:r>
      <w:r>
        <w:rPr>
          <w:rFonts w:ascii="Times New Roman" w:hAnsi="Times New Roman"/>
          <w:sz w:val="28"/>
          <w:szCs w:val="28"/>
        </w:rPr>
        <w:t xml:space="preserve">Городским Советом МО «Город Вытегра»</w:t>
      </w:r>
      <w:r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</w:t>
      </w:r>
      <w:r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от 14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2.2023 № 78 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2024 год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>
        <w:rPr>
          <w:rFonts w:ascii="Times New Roman" w:hAnsi="Times New Roman"/>
          <w:sz w:val="28"/>
          <w:szCs w:val="28"/>
        </w:rPr>
        <w:t xml:space="preserve">ервоначально</w:t>
      </w:r>
      <w:r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 xml:space="preserve">дам и расходам в сумме 138690,7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– без дефицита.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>
        <w:rPr>
          <w:rFonts w:ascii="Times New Roman" w:hAnsi="Times New Roman"/>
          <w:sz w:val="28"/>
          <w:szCs w:val="28"/>
        </w:rPr>
        <w:t xml:space="preserve">бюджета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/>
          <w:sz w:val="28"/>
          <w:szCs w:val="28"/>
        </w:rPr>
        <w:t xml:space="preserve">, утвердить дефицит  бюджета в сумме 35320,9 тыс. рублей. </w:t>
      </w:r>
      <w:r>
        <w:rPr>
          <w:rFonts w:ascii="Times New Roman" w:hAnsi="Times New Roman"/>
          <w:sz w:val="28"/>
          <w:szCs w:val="28"/>
        </w:rPr>
        <w:t xml:space="preserve">Изменения в показатели бюджета на 2024 год приведены в таблице: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вносимых изменений в решение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79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>
        <w:tblPrEx/>
        <w:trPr>
          <w:trHeight w:val="722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решением о бюджете от 14.12.2023 г. № 78 (с изменениями)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изменения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54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Доходы всего (тыс.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138690,7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179896,7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+41206,0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+29,7%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143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Налоговые и неналоговые доходы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48815,0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48815,0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0,0%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175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89875,7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131081,7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+41206,0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+45,8%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2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Расходы всего (тыс.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172431,4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215217,6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+42786,2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+24,8%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blPrEx/>
        <w:trPr>
          <w:trHeight w:val="39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Дефицит (-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профицит (+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бюджета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-33740,7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-33740,7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-35320,9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общих </w:t>
      </w:r>
      <w:r>
        <w:rPr>
          <w:rFonts w:ascii="Times New Roman" w:hAnsi="Times New Roman"/>
          <w:sz w:val="28"/>
          <w:szCs w:val="28"/>
        </w:rPr>
        <w:t xml:space="preserve">параметры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джета МО приведены в Приложении 1</w:t>
      </w:r>
      <w:r>
        <w:rPr>
          <w:rFonts w:ascii="Times New Roman" w:hAnsi="Times New Roman"/>
          <w:sz w:val="28"/>
          <w:szCs w:val="28"/>
        </w:rPr>
        <w:t xml:space="preserve"> к заключению.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2024 году увеличится на 41206,0 тыс. рублей (+29,7%)</w:t>
      </w:r>
      <w:r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sz w:val="28"/>
          <w:szCs w:val="28"/>
        </w:rPr>
        <w:t xml:space="preserve">179896,7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не изменяется и составит 48815,0 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/>
          <w:sz w:val="28"/>
          <w:szCs w:val="28"/>
          <w:highlight w:val="white"/>
        </w:rPr>
        <w:t xml:space="preserve">ъем безвозмездных поступлений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увеличится на 41206,0 тыс. рублей и составит 131081,7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Размеры уточнений по каждому виду доходов на 2024 год представлены в таблице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79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>
        <w:tblPrEx/>
        <w:trPr>
          <w:trHeight w:val="488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доходных источников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14.12.2023 № 78 (с изменениями)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313"/>
        </w:trPr>
        <w:tc>
          <w:tcPr>
            <w:tcW w:w="31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и неналоговые доходы  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48815,0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48815,0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5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89875,7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131081,7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+41206,0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Дотации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8919,3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15969,3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+7050,0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Субсидии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80954,4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114243,6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+33289,2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Субвенции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2,0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2,0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866,8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+866,8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 xml:space="preserve">72,9</w:t>
      </w:r>
      <w:r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 xml:space="preserve">27,1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Общий объем дотаций увеличен на 7050,0 тыс. рублей за счет поступающей из областного бюджета дотации бюджетам городских поселений на поддержку мер по обеспечению сбалансированности бюджетов.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Общий объем субсидий ув</w:t>
      </w:r>
      <w:r>
        <w:rPr>
          <w:rFonts w:ascii="Times New Roman" w:hAnsi="Times New Roman"/>
          <w:sz w:val="28"/>
          <w:szCs w:val="28"/>
        </w:rPr>
        <w:t xml:space="preserve">еличится на 33289,2 тыс. рублей, в том числе</w:t>
      </w:r>
      <w:r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-субсидии на обустройство систем уличного освещения - 4001,8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-субсидии на </w:t>
      </w:r>
      <w:r>
        <w:rPr>
          <w:rFonts w:ascii="Times New Roman" w:hAnsi="Times New Roman"/>
          <w:sz w:val="28"/>
          <w:szCs w:val="28"/>
          <w:highlight w:val="none"/>
        </w:rPr>
        <w:t xml:space="preserve"> строительство, реконструкцию и капитальный ремонт централизованных систем водоснабжения и водоотведения - 27264,9</w:t>
      </w:r>
      <w:r>
        <w:rPr>
          <w:rFonts w:ascii="Times New Roman" w:hAnsi="Times New Roman"/>
          <w:sz w:val="28"/>
          <w:szCs w:val="28"/>
          <w:highlight w:val="non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none"/>
        </w:rPr>
        <w:t xml:space="preserve"> -субсидии на реализацию проекта "Народный бюджет"</w:t>
      </w:r>
      <w:r>
        <w:rPr>
          <w:rFonts w:ascii="Times New Roman" w:hAnsi="Times New Roman"/>
          <w:sz w:val="28"/>
          <w:szCs w:val="28"/>
          <w:highlight w:val="none"/>
        </w:rPr>
        <w:t xml:space="preserve"> - 2022,5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>
        <w:rPr>
          <w:rFonts w:ascii="Times New Roman" w:hAnsi="Times New Roman"/>
          <w:sz w:val="28"/>
          <w:szCs w:val="28"/>
        </w:rPr>
        <w:t xml:space="preserve">бщий объем субвенций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изменяется и составит 2,0 тыс. рублей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4"/>
        <w:ind w:firstLine="0"/>
        <w:jc w:val="both"/>
        <w:spacing w:after="0" w:afterAutospacing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утверждаются прочие безвозмездные поступления в объеме 866,8 тыс. рублей </w:t>
      </w:r>
      <w:r>
        <w:rPr>
          <w:rFonts w:ascii="Times New Roman" w:hAnsi="Times New Roman"/>
          <w:sz w:val="28"/>
          <w:szCs w:val="28"/>
          <w:highlight w:val="white"/>
        </w:rPr>
        <w:t xml:space="preserve">(в том числе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рочие безвозмездные поступления от негосударственных организаций в бюджеты городских поселений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722,3 тыс. рублей;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</w:rPr>
        <w:t xml:space="preserve">оступления от денежных пожертвований, предоставляемых физическими лицами получателям средств бюджетов городских поселений-144,5 тыс. 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). </w:t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ind w:firstLine="0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поступлений доходов городского  бюджета на 2024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2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 xml:space="preserve">42786,2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24,8</w:t>
      </w:r>
      <w:r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 xml:space="preserve">215217,6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результате произведенных изменений дефицит бюджета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35320,9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Объем 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01.01.2024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highlight w:val="none"/>
        </w:rPr>
        <w:t xml:space="preserve"> Проектом решения предлагается перераспределение бюджетных ассигнований между разделами, подразделами</w:t>
      </w:r>
      <w:r>
        <w:rPr>
          <w:rFonts w:ascii="Times New Roman" w:hAnsi="Times New Roman"/>
          <w:sz w:val="28"/>
          <w:szCs w:val="28"/>
        </w:rPr>
        <w:t xml:space="preserve"> классификации расходов бюджетов на 2024 год.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2024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увеличить </w:t>
      </w:r>
      <w:r>
        <w:rPr>
          <w:rFonts w:ascii="Times New Roman" w:hAnsi="Times New Roman"/>
          <w:sz w:val="28"/>
          <w:szCs w:val="28"/>
        </w:rPr>
        <w:t xml:space="preserve">плановые ассигнования </w:t>
      </w:r>
      <w:r>
        <w:rPr>
          <w:rFonts w:ascii="Times New Roman" w:hAnsi="Times New Roman"/>
          <w:b/>
          <w:sz w:val="28"/>
          <w:szCs w:val="28"/>
        </w:rPr>
        <w:t xml:space="preserve">по разделу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на 8307,4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+51,7%).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24384,6 тыс.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раздела в общих расходах бюджета после изменения составит </w:t>
      </w:r>
      <w:r>
        <w:rPr>
          <w:rFonts w:ascii="Times New Roman" w:hAnsi="Times New Roman"/>
          <w:sz w:val="28"/>
          <w:szCs w:val="28"/>
        </w:rPr>
        <w:t xml:space="preserve">11,3 %.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ассигнования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 увеличиваются </w:t>
      </w:r>
      <w:r>
        <w:rPr>
          <w:rFonts w:ascii="Times New Roman" w:hAnsi="Times New Roman"/>
          <w:sz w:val="28"/>
          <w:szCs w:val="28"/>
          <w:highlight w:val="none"/>
        </w:rPr>
        <w:t xml:space="preserve">на 8307,4 тыс.рублей, или в 3,1 раза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4"/>
        <w:ind w:left="57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Увеличиваются расходы: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7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одержание и обслуживание муниципальной казны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на 500,0 тыс. рублей (оплата электроэнергии);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7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на 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емлеустроительные работы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200,0 тыс. рублей (кадастровые работы);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4"/>
        <w:ind w:left="0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на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риобретение имущества в муниципальную собственность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0,0 тыс. рублей ( приобретение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илососной машины);</w:t>
      </w:r>
      <w:r>
        <w:rPr>
          <w:rFonts w:ascii="Times New Roman" w:hAnsi="Times New Roman" w:cs="Times New Roman"/>
          <w:sz w:val="27"/>
          <w:szCs w:val="27"/>
          <w:highlight w:val="none"/>
        </w:rPr>
      </w:r>
      <w:r>
        <w:rPr>
          <w:rFonts w:ascii="Times New Roman" w:hAnsi="Times New Roman" w:cs="Times New Roman"/>
          <w:sz w:val="27"/>
          <w:szCs w:val="27"/>
          <w:highlight w:val="none"/>
        </w:rPr>
      </w:r>
    </w:p>
    <w:p>
      <w:pPr>
        <w:ind w:left="57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налогов, сборов и иных платежей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на 85,4 тыс. рублей;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4"/>
        <w:ind w:left="57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на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сполнение судебных актов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расходы увеличены на 22,0 тыс. рублей;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4"/>
        <w:ind w:left="57" w:firstLine="0"/>
        <w:jc w:val="both"/>
        <w:spacing w:after="0" w:afterAutospacing="0" w:line="240" w:lineRule="auto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увеличить плановые ассигнования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05 «Жилищно-коммунальное хозяйство»  </w:t>
      </w:r>
      <w:r>
        <w:rPr>
          <w:rFonts w:ascii="Times New Roman" w:hAnsi="Times New Roman"/>
          <w:sz w:val="28"/>
          <w:szCs w:val="28"/>
          <w:lang w:eastAsia="ru-RU"/>
        </w:rPr>
        <w:t xml:space="preserve">на 34478,8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+25,6%).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–169374,9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78,7%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общих расходах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74"/>
        <w:ind w:left="57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По подразделу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0502 «Коммунальное хозяйство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ассигнования увеличиваются на 30352,2 тыс. рублей (+37,0%).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роектом решения предлагается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28 108,1 тыс. рублей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расходы на реализацию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униципальн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"Комплексное развитие систем коммунальной инфраструктуры в сфере водоснабжения и водоотведения муниципального образования "Город Вытегра" Вытегорского муниципального района Вологодской области на 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Подпрограмма 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"Комплексное развитие систем коммунальной инфраструктуры в сфере водоотведения муниципального образования "Город Вытегра"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Основное мероприятие 1 "Строительство и реконструкция (модернизация) объектов водоотведения"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874"/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На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ероприятия по реализации проекта "Народный бюджет"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расходы увеличены на 2 889,3 тыс. рублей,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рочие мероприятия по коммунальному хозяйству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расходы уменьшены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645,2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874"/>
        <w:ind w:left="57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По подразделу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0503 «Благоустройство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ассигнования увеличиваются на 4126,6 тыс. рублей (+8,3%)</w:t>
      </w:r>
      <w:r>
        <w:rPr>
          <w:rFonts w:ascii="Times New Roman" w:hAnsi="Times New Roman"/>
          <w:sz w:val="28"/>
          <w:szCs w:val="28"/>
          <w:lang w:eastAsia="ru-RU"/>
        </w:rPr>
        <w:t xml:space="preserve">. Средства в размере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4 125,6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предполагается направить 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ероприятия на обустройство систем уличного освещения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1,0 тыс. рублей 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соответствии с заключенными соглашениями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осуществление части полномочий в сфере обращения с твердыми коммунальными отходами на территории МО "Город Вытегра".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и</w:t>
      </w:r>
      <w:r>
        <w:rPr>
          <w:rFonts w:ascii="Times New Roman" w:hAnsi="Times New Roman"/>
          <w:sz w:val="28"/>
          <w:szCs w:val="28"/>
          <w:lang w:eastAsia="ru-RU"/>
        </w:rPr>
        <w:t xml:space="preserve">зменения в объемы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униципальных  программ.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Общий объем финансирования программ в 2024 году увеличив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ается на 28108,1 тыс. рублей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 составит 115271,5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53,6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% от общего объема расходов.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Увеличение доли программного финансирования составит 3,1%.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Изменения, внесенные в финансирование муниципальных программ </w:t>
      </w:r>
      <w:r>
        <w:rPr>
          <w:rFonts w:ascii="Times New Roman" w:hAnsi="Times New Roman"/>
          <w:sz w:val="28"/>
          <w:szCs w:val="28"/>
          <w:highlight w:val="white"/>
        </w:rPr>
        <w:t xml:space="preserve">на 2024 год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  <w:highlight w:val="white"/>
        </w:rPr>
        <w:t xml:space="preserve">4 </w:t>
      </w:r>
      <w:r>
        <w:rPr>
          <w:rFonts w:ascii="Times New Roman" w:hAnsi="Times New Roman"/>
          <w:sz w:val="28"/>
          <w:szCs w:val="28"/>
          <w:highlight w:val="white"/>
        </w:rPr>
        <w:t xml:space="preserve">к Заключению.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2025 год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90"/>
        <w:ind w:firstLine="0"/>
        <w:jc w:val="both"/>
        <w:spacing w:after="0" w:afterAutospacing="0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>
        <w:rPr>
          <w:rFonts w:ascii="Times New Roman" w:hAnsi="Times New Roman"/>
          <w:sz w:val="28"/>
          <w:szCs w:val="28"/>
        </w:rPr>
        <w:t xml:space="preserve">ервоначально</w:t>
      </w:r>
      <w:r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 xml:space="preserve">дам и расходам в сумме </w:t>
      </w:r>
      <w:r>
        <w:rPr>
          <w:rFonts w:ascii="Times New Roman" w:hAnsi="Times New Roman"/>
          <w:sz w:val="28"/>
          <w:szCs w:val="28"/>
          <w:highlight w:val="none"/>
        </w:rPr>
        <w:t xml:space="preserve">61910,5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– без дефицита.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следующие изменения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90"/>
        <w:ind w:firstLine="0"/>
        <w:jc w:val="both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-доходная часть бюджета муниципального образования увеличится </w:t>
      </w:r>
      <w:r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1 965,3</w:t>
      </w:r>
      <w:r>
        <w:rPr>
          <w:sz w:val="27"/>
          <w:szCs w:val="27"/>
        </w:rPr>
        <w:t xml:space="preserve"> тыс. рублей </w:t>
      </w:r>
      <w:r>
        <w:rPr>
          <w:sz w:val="27"/>
          <w:szCs w:val="27"/>
        </w:rPr>
        <w:t xml:space="preserve">за счет </w:t>
      </w:r>
      <w:r>
        <w:rPr>
          <w:sz w:val="27"/>
          <w:szCs w:val="27"/>
        </w:rPr>
        <w:t xml:space="preserve">субсиди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обустройство систем</w:t>
      </w:r>
      <w:r>
        <w:rPr>
          <w:sz w:val="27"/>
          <w:szCs w:val="27"/>
        </w:rPr>
        <w:t xml:space="preserve"> уличного освещения</w:t>
      </w:r>
      <w:r>
        <w:rPr>
          <w:sz w:val="27"/>
          <w:szCs w:val="27"/>
        </w:rPr>
        <w:t xml:space="preserve"> и составит </w:t>
      </w:r>
      <w:r>
        <w:rPr>
          <w:sz w:val="27"/>
          <w:szCs w:val="27"/>
        </w:rPr>
        <w:t xml:space="preserve">63 875,8</w:t>
      </w:r>
      <w:r>
        <w:rPr>
          <w:sz w:val="27"/>
          <w:szCs w:val="27"/>
        </w:rPr>
        <w:t xml:space="preserve"> тыс. рублей,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90"/>
        <w:ind w:firstLine="0"/>
        <w:jc w:val="both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-расходная </w:t>
      </w:r>
      <w:r>
        <w:rPr>
          <w:sz w:val="27"/>
          <w:szCs w:val="27"/>
        </w:rPr>
        <w:t xml:space="preserve">увеличится на 1965,3 тыс. рублей и составит 63 875,8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</w:t>
      </w:r>
      <w:r>
        <w:rPr>
          <w:sz w:val="27"/>
          <w:szCs w:val="27"/>
        </w:rPr>
        <w:t xml:space="preserve"> рублей, дефицит</w:t>
      </w:r>
      <w:r>
        <w:rPr>
          <w:sz w:val="27"/>
          <w:szCs w:val="27"/>
        </w:rPr>
        <w:t xml:space="preserve"> (профицит)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 xml:space="preserve">0,00</w:t>
      </w:r>
      <w:r>
        <w:rPr>
          <w:sz w:val="27"/>
          <w:szCs w:val="27"/>
        </w:rPr>
        <w:t xml:space="preserve">  тыс. рублей.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74"/>
        <w:ind w:left="57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Проектом решения предлагается увеличить плановые ассигнования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ероприятия по обустройству систем уличного освещения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на 1965,3 тыс. рублей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(подраздел 050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Благоустройство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05 «Жилищно-коммунальное хозяйство».)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pStyle w:val="890"/>
        <w:ind w:firstLine="0"/>
        <w:jc w:val="both"/>
        <w:spacing w:after="0" w:afterAutospacing="0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2026 год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pStyle w:val="890"/>
        <w:ind w:firstLine="0"/>
        <w:jc w:val="both"/>
        <w:spacing w:after="0" w:afterAutospacing="0"/>
        <w:rPr>
          <w:sz w:val="27"/>
          <w:szCs w:val="27"/>
        </w:rPr>
      </w:pPr>
      <w:r>
        <w:rPr>
          <w:sz w:val="27"/>
          <w:szCs w:val="27"/>
        </w:rPr>
      </w:r>
      <w:r>
        <w:rPr>
          <w:rFonts w:ascii="Times New Roman" w:hAnsi="Times New Roman"/>
          <w:sz w:val="28"/>
          <w:szCs w:val="28"/>
        </w:rPr>
        <w:t xml:space="preserve">       П</w:t>
      </w:r>
      <w:r>
        <w:rPr>
          <w:rFonts w:ascii="Times New Roman" w:hAnsi="Times New Roman"/>
          <w:sz w:val="28"/>
          <w:szCs w:val="28"/>
        </w:rPr>
        <w:t xml:space="preserve">ервоначально</w:t>
      </w:r>
      <w:r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 xml:space="preserve">дам и расходам в сумме 64820,8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– без дефицита.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90"/>
        <w:ind w:firstLine="0"/>
        <w:jc w:val="both"/>
        <w:spacing w:after="0" w:afterAutospacing="0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следующие изменения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90"/>
        <w:ind w:firstLine="0"/>
        <w:jc w:val="both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-доходная часть бюджета муниципального образования увеличится </w:t>
      </w:r>
      <w:r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1 965,3</w:t>
      </w:r>
      <w:r>
        <w:rPr>
          <w:sz w:val="27"/>
          <w:szCs w:val="27"/>
        </w:rPr>
        <w:t xml:space="preserve"> тыс. рублей </w:t>
      </w:r>
      <w:r>
        <w:rPr>
          <w:sz w:val="27"/>
          <w:szCs w:val="27"/>
        </w:rPr>
        <w:t xml:space="preserve">за счет </w:t>
      </w:r>
      <w:r>
        <w:rPr>
          <w:sz w:val="27"/>
          <w:szCs w:val="27"/>
        </w:rPr>
        <w:t xml:space="preserve">субсиди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обустройство систем</w:t>
      </w:r>
      <w:r>
        <w:rPr>
          <w:sz w:val="27"/>
          <w:szCs w:val="27"/>
        </w:rPr>
        <w:t xml:space="preserve"> уличного освещения</w:t>
      </w:r>
      <w:r>
        <w:rPr>
          <w:sz w:val="27"/>
          <w:szCs w:val="27"/>
        </w:rPr>
        <w:t xml:space="preserve"> и составит </w:t>
      </w:r>
      <w:r>
        <w:rPr>
          <w:sz w:val="27"/>
          <w:szCs w:val="27"/>
        </w:rPr>
        <w:t xml:space="preserve">66 786,1</w:t>
      </w:r>
      <w:r>
        <w:rPr>
          <w:sz w:val="27"/>
          <w:szCs w:val="27"/>
        </w:rPr>
        <w:t xml:space="preserve"> тыс. рублей,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90"/>
        <w:ind w:firstLine="0"/>
        <w:jc w:val="both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-расходная </w:t>
      </w:r>
      <w:r>
        <w:rPr>
          <w:sz w:val="27"/>
          <w:szCs w:val="27"/>
        </w:rPr>
        <w:t xml:space="preserve">увеличится на 1965,3 тыс. рублей и составит </w:t>
      </w:r>
      <w:r>
        <w:rPr>
          <w:sz w:val="27"/>
          <w:szCs w:val="27"/>
        </w:rPr>
        <w:t xml:space="preserve">66 786,1</w:t>
      </w:r>
      <w:r>
        <w:rPr>
          <w:sz w:val="27"/>
          <w:szCs w:val="27"/>
        </w:rPr>
        <w:t xml:space="preserve"> тыс.</w:t>
      </w:r>
      <w:r>
        <w:rPr>
          <w:sz w:val="27"/>
          <w:szCs w:val="27"/>
        </w:rPr>
        <w:t xml:space="preserve"> рублей, дефицит</w:t>
      </w:r>
      <w:r>
        <w:rPr>
          <w:sz w:val="27"/>
          <w:szCs w:val="27"/>
        </w:rPr>
        <w:t xml:space="preserve"> (профицит)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 xml:space="preserve">0,00</w:t>
      </w:r>
      <w:r>
        <w:rPr>
          <w:sz w:val="27"/>
          <w:szCs w:val="27"/>
        </w:rPr>
        <w:t xml:space="preserve">  тыс. рублей.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74"/>
        <w:ind w:left="57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Проектом решения предлагается увеличить плановые ассигнования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ероприятия по обустройству систем уличного освещения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на 1965,3 тыс. рублей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(подраздел 050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Благоустройство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05 «Жилищно-коммунальное хозяйство».)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Проектом решения вносятся соответствующие изменения в приложения к решению Городского Совета МО «Город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 Вытегра» от 14.12.2023 г. № 78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азования «Город Вытегра» на 2024 год и плановый период 2025 и 2026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24.05.2022 № 82н «О Порядке формирования и применения ко</w:t>
      </w:r>
      <w:r>
        <w:rPr>
          <w:rFonts w:ascii="Times New Roman" w:hAnsi="Times New Roman"/>
          <w:sz w:val="28"/>
          <w:szCs w:val="28"/>
          <w:lang w:eastAsia="ru-RU"/>
        </w:rPr>
        <w:t xml:space="preserve">дов бюджетной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ификации Российской Федерации, их структуре и принципах назначения» (ред. 01.06.2023), приказом Министерства финансов РФ </w:t>
      </w:r>
      <w:r>
        <w:rPr>
          <w:rFonts w:ascii="Times New Roman" w:hAnsi="Times New Roman"/>
          <w:sz w:val="28"/>
          <w:szCs w:val="28"/>
        </w:rPr>
        <w:t xml:space="preserve">от 01.06.2023 № 80н </w:t>
      </w:r>
      <w:r>
        <w:rPr>
          <w:rFonts w:ascii="Times New Roman" w:hAnsi="Times New Roman"/>
          <w:sz w:val="28"/>
          <w:szCs w:val="28"/>
        </w:rPr>
        <w:t xml:space="preserve">«Об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ре</w:t>
      </w:r>
      <w:r>
        <w:rPr>
          <w:rFonts w:ascii="Times New Roman" w:hAnsi="Times New Roman"/>
          <w:sz w:val="28"/>
          <w:szCs w:val="28"/>
        </w:rPr>
        <w:t xml:space="preserve">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 xml:space="preserve">Гор</w:t>
      </w:r>
      <w:r>
        <w:rPr>
          <w:rFonts w:ascii="Times New Roman" w:hAnsi="Times New Roman"/>
          <w:sz w:val="28"/>
          <w:szCs w:val="28"/>
        </w:rPr>
        <w:t xml:space="preserve">од Вытегра».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14</w:t>
      </w:r>
      <w:r>
        <w:rPr>
          <w:rFonts w:ascii="Times New Roman" w:hAnsi="Times New Roman"/>
          <w:sz w:val="28"/>
          <w:szCs w:val="28"/>
        </w:rPr>
        <w:t xml:space="preserve">.12.2</w:t>
      </w:r>
      <w:r>
        <w:rPr>
          <w:rFonts w:ascii="Times New Roman" w:hAnsi="Times New Roman"/>
          <w:sz w:val="28"/>
          <w:szCs w:val="28"/>
        </w:rPr>
        <w:t xml:space="preserve">023 № 78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рассмотрению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567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Mangal">
    <w:panose1 w:val="02040503050306020203"/>
  </w:font>
  <w:font w:name="Tahoma">
    <w:panose1 w:val="020B0604030504040204"/>
  </w:font>
  <w:font w:name="Verdana">
    <w:panose1 w:val="020B06040305040402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4"/>
    <w:next w:val="874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basedOn w:val="876"/>
    <w:link w:val="700"/>
    <w:uiPriority w:val="9"/>
    <w:rPr>
      <w:rFonts w:ascii="Arial" w:hAnsi="Arial" w:eastAsia="Arial" w:cs="Arial"/>
      <w:sz w:val="40"/>
      <w:szCs w:val="40"/>
    </w:rPr>
  </w:style>
  <w:style w:type="character" w:styleId="702">
    <w:name w:val="Heading 2 Char"/>
    <w:basedOn w:val="876"/>
    <w:link w:val="875"/>
    <w:uiPriority w:val="9"/>
    <w:rPr>
      <w:rFonts w:ascii="Arial" w:hAnsi="Arial" w:eastAsia="Arial" w:cs="Arial"/>
      <w:sz w:val="34"/>
    </w:rPr>
  </w:style>
  <w:style w:type="paragraph" w:styleId="703">
    <w:name w:val="Heading 3"/>
    <w:basedOn w:val="874"/>
    <w:next w:val="874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4">
    <w:name w:val="Heading 3 Char"/>
    <w:basedOn w:val="876"/>
    <w:link w:val="703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74"/>
    <w:next w:val="874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basedOn w:val="876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74"/>
    <w:next w:val="874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basedOn w:val="876"/>
    <w:link w:val="707"/>
    <w:uiPriority w:val="9"/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874"/>
    <w:next w:val="874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0">
    <w:name w:val="Heading 6 Char"/>
    <w:basedOn w:val="876"/>
    <w:link w:val="709"/>
    <w:uiPriority w:val="9"/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874"/>
    <w:next w:val="874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7 Char"/>
    <w:basedOn w:val="876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874"/>
    <w:next w:val="874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4">
    <w:name w:val="Heading 8 Char"/>
    <w:basedOn w:val="876"/>
    <w:link w:val="713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4"/>
    <w:next w:val="874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basedOn w:val="876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Title"/>
    <w:basedOn w:val="874"/>
    <w:next w:val="874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4"/>
    <w:next w:val="874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4"/>
    <w:next w:val="874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4"/>
    <w:next w:val="874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4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4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6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6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rPr>
      <w:rFonts w:ascii="Calibri" w:hAnsi="Calibri" w:eastAsia="Times New Roman" w:cs="Times New Roman"/>
    </w:rPr>
  </w:style>
  <w:style w:type="paragraph" w:styleId="875">
    <w:name w:val="Heading 2"/>
    <w:basedOn w:val="874"/>
    <w:next w:val="874"/>
    <w:link w:val="889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table" w:styleId="879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1" w:customStyle="1">
    <w:name w:val="Знак"/>
    <w:basedOn w:val="87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82">
    <w:name w:val="Normal (Web)"/>
    <w:basedOn w:val="874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83">
    <w:name w:val="Balloon Text"/>
    <w:basedOn w:val="874"/>
    <w:link w:val="88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4" w:customStyle="1">
    <w:name w:val="Текст выноски Знак"/>
    <w:basedOn w:val="876"/>
    <w:link w:val="88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85">
    <w:name w:val="List Paragraph"/>
    <w:basedOn w:val="874"/>
    <w:uiPriority w:val="34"/>
    <w:qFormat/>
    <w:pPr>
      <w:contextualSpacing/>
      <w:ind w:left="720"/>
    </w:pPr>
  </w:style>
  <w:style w:type="paragraph" w:styleId="886">
    <w:name w:val="Body Text"/>
    <w:basedOn w:val="874"/>
    <w:link w:val="887"/>
    <w:pPr>
      <w:jc w:val="both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styleId="887" w:customStyle="1">
    <w:name w:val="Основной текст Знак"/>
    <w:basedOn w:val="876"/>
    <w:link w:val="88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8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89" w:customStyle="1">
    <w:name w:val="Заголовок 2 Знак"/>
    <w:basedOn w:val="876"/>
    <w:link w:val="875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90" w:customStyle="1">
    <w:name w:val="Основной текст"/>
    <w:next w:val="73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891" w:customStyle="1">
    <w:name w:val="Подзаголовок"/>
    <w:basedOn w:val="729"/>
    <w:next w:val="730"/>
    <w:qFormat/>
    <w:pPr>
      <w:contextualSpacing w:val="0"/>
      <w:ind w:left="0" w:right="0" w:firstLine="0"/>
      <w:jc w:val="center"/>
      <w:keepLines w:val="0"/>
      <w:keepNext/>
      <w:pageBreakBefore w:val="0"/>
      <w:spacing w:before="24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Microsoft YaHei" w:cs="Mangal"/>
      <w:b w:val="0"/>
      <w:bCs w:val="0"/>
      <w:i/>
      <w:iCs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B745-6E52-4E78-B34C-821ED1D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43</cp:revision>
  <dcterms:created xsi:type="dcterms:W3CDTF">2023-05-30T10:20:00Z</dcterms:created>
  <dcterms:modified xsi:type="dcterms:W3CDTF">2024-04-17T07:54:04Z</dcterms:modified>
</cp:coreProperties>
</file>