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lang w:eastAsia="ru-RU"/>
        </w:rPr>
      </w:pPr>
      <w:r>
        <w:rPr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5775" cy="5715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8371152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25pt;height:45.00pt;mso-wrap-distance-left:0.00pt;mso-wrap-distance-top:0.00pt;mso-wrap-distance-right:0.00pt;mso-wrap-distance-bottom:0.00pt;rotation:0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/>
      <w:bookmarkStart w:id="0" w:name="_GoBack"/>
      <w:r/>
      <w:bookmarkEnd w:id="0"/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80"/>
        <w:jc w:val="center"/>
      </w:pPr>
      <w:r>
        <w:t xml:space="preserve">тел. (81746</w:t>
      </w:r>
      <w:r>
        <w:t xml:space="preserve">)  2</w:t>
      </w:r>
      <w:r>
        <w:t xml:space="preserve">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u w:val="single"/>
          <w:lang w:val="en-US"/>
        </w:rPr>
        <w:t xml:space="preserve">revkom</w:t>
      </w:r>
      <w:r>
        <w:rPr>
          <w:u w:val="single"/>
        </w:rPr>
        <w:t xml:space="preserve">@</w:t>
      </w:r>
      <w:r>
        <w:rPr>
          <w:u w:val="single"/>
          <w:lang w:val="en-US"/>
        </w:rPr>
        <w:t xml:space="preserve">vytegra</w:t>
      </w:r>
      <w:r>
        <w:rPr>
          <w:u w:val="single"/>
        </w:rPr>
        <w:t xml:space="preserve">-</w:t>
      </w:r>
      <w:r>
        <w:rPr>
          <w:u w:val="single"/>
          <w:lang w:val="en-US"/>
        </w:rPr>
        <w:t xml:space="preserve">adm</w:t>
      </w:r>
      <w:r>
        <w:rPr>
          <w:u w:val="single"/>
        </w:rPr>
        <w:t xml:space="preserve">.</w:t>
      </w:r>
      <w:r>
        <w:rPr>
          <w:u w:val="single"/>
          <w:lang w:val="en-US"/>
        </w:rPr>
        <w:t xml:space="preserve">ru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09" r="35560" b="37465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ed="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проект решения Городского Совета Муниципального образования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«Город Вытегра»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left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  19.</w:t>
      </w:r>
      <w:r>
        <w:rPr>
          <w:rFonts w:ascii="Times New Roman" w:hAnsi="Times New Roman"/>
          <w:sz w:val="28"/>
          <w:szCs w:val="28"/>
        </w:rPr>
        <w:t xml:space="preserve">02.2024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г. Вытегра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lef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</w:t>
      </w:r>
      <w:r>
        <w:rPr>
          <w:rFonts w:ascii="Times New Roman" w:hAnsi="Times New Roman"/>
          <w:sz w:val="28"/>
          <w:szCs w:val="28"/>
        </w:rPr>
        <w:t xml:space="preserve">ия «Город Вытегра» от 14.12.2023 № 78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заключенного </w:t>
      </w:r>
      <w:r>
        <w:rPr>
          <w:rFonts w:ascii="Times New Roman" w:hAnsi="Times New Roman"/>
          <w:sz w:val="28"/>
          <w:szCs w:val="28"/>
        </w:rPr>
        <w:t xml:space="preserve">на 2024</w:t>
      </w:r>
      <w:r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оглашения между </w:t>
      </w:r>
      <w:r>
        <w:rPr>
          <w:rFonts w:ascii="Times New Roman" w:hAnsi="Times New Roman"/>
          <w:sz w:val="28"/>
          <w:szCs w:val="28"/>
        </w:rPr>
        <w:t xml:space="preserve">Городским Советом МО «Город Вытегра»</w:t>
      </w:r>
      <w:r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района.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</w:t>
      </w:r>
      <w:r>
        <w:rPr>
          <w:rFonts w:ascii="Times New Roman" w:hAnsi="Times New Roman"/>
          <w:sz w:val="28"/>
          <w:szCs w:val="28"/>
        </w:rPr>
        <w:t xml:space="preserve">Городского Совета Муниципального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 xml:space="preserve">от 14</w:t>
      </w:r>
      <w:r>
        <w:rPr>
          <w:rFonts w:ascii="Times New Roman" w:hAnsi="Times New Roman"/>
          <w:sz w:val="28"/>
          <w:szCs w:val="28"/>
        </w:rPr>
        <w:t xml:space="preserve">.1</w:t>
      </w:r>
      <w:r>
        <w:rPr>
          <w:rFonts w:ascii="Times New Roman" w:hAnsi="Times New Roman"/>
          <w:sz w:val="28"/>
          <w:szCs w:val="28"/>
        </w:rPr>
        <w:t xml:space="preserve">2.2023 № 78 «О</w:t>
      </w:r>
      <w:r>
        <w:rPr>
          <w:rFonts w:ascii="Times New Roman" w:hAnsi="Times New Roman"/>
          <w:sz w:val="28"/>
          <w:szCs w:val="28"/>
        </w:rPr>
        <w:t xml:space="preserve"> бюджете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 xml:space="preserve">на 2024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>
        <w:rPr>
          <w:rFonts w:ascii="Times New Roman" w:hAnsi="Times New Roman"/>
          <w:sz w:val="28"/>
          <w:szCs w:val="28"/>
        </w:rPr>
        <w:t xml:space="preserve">ервоначально</w:t>
      </w:r>
      <w:r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был утвержден по дохо</w:t>
      </w:r>
      <w:r>
        <w:rPr>
          <w:rFonts w:ascii="Times New Roman" w:hAnsi="Times New Roman"/>
          <w:sz w:val="28"/>
          <w:szCs w:val="28"/>
        </w:rPr>
        <w:t xml:space="preserve">дам и расходам в сумме 138690,7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 – без дефицита.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роектом решения п</w:t>
      </w:r>
      <w:r>
        <w:rPr>
          <w:rFonts w:ascii="Times New Roman" w:hAnsi="Times New Roman"/>
          <w:sz w:val="28"/>
          <w:szCs w:val="28"/>
        </w:rPr>
        <w:t xml:space="preserve">редлагается внести изменения в  </w:t>
      </w:r>
      <w:r>
        <w:rPr>
          <w:rFonts w:ascii="Times New Roman" w:hAnsi="Times New Roman"/>
          <w:sz w:val="28"/>
          <w:szCs w:val="28"/>
        </w:rPr>
        <w:t xml:space="preserve">расходн</w:t>
      </w:r>
      <w:r>
        <w:rPr>
          <w:rFonts w:ascii="Times New Roman" w:hAnsi="Times New Roman"/>
          <w:sz w:val="28"/>
          <w:szCs w:val="28"/>
        </w:rPr>
        <w:t xml:space="preserve">ую часть </w:t>
      </w:r>
      <w:r>
        <w:rPr>
          <w:rFonts w:ascii="Times New Roman" w:hAnsi="Times New Roman"/>
          <w:sz w:val="28"/>
          <w:szCs w:val="28"/>
        </w:rPr>
        <w:t xml:space="preserve">б</w:t>
      </w:r>
      <w:r>
        <w:rPr>
          <w:rFonts w:ascii="Times New Roman" w:hAnsi="Times New Roman"/>
          <w:sz w:val="28"/>
          <w:szCs w:val="28"/>
        </w:rPr>
        <w:t xml:space="preserve">юджета на 202</w:t>
      </w:r>
      <w:r>
        <w:rPr>
          <w:rFonts w:ascii="Times New Roman" w:hAnsi="Times New Roman"/>
          <w:sz w:val="28"/>
          <w:szCs w:val="28"/>
        </w:rPr>
        <w:t xml:space="preserve">4 год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увеличив ее на 33740,7 </w:t>
      </w:r>
      <w:r>
        <w:rPr>
          <w:rFonts w:ascii="Times New Roman" w:hAnsi="Times New Roman"/>
          <w:sz w:val="28"/>
          <w:szCs w:val="28"/>
        </w:rPr>
        <w:t xml:space="preserve">тыс.рублей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характеристика изменений, </w:t>
      </w:r>
      <w:r>
        <w:rPr>
          <w:rFonts w:ascii="Times New Roman" w:hAnsi="Times New Roman"/>
          <w:sz w:val="24"/>
          <w:szCs w:val="24"/>
        </w:rPr>
        <w:t xml:space="preserve">вносимых </w:t>
      </w:r>
      <w:r/>
      <w:r>
        <w:rPr>
          <w:rFonts w:ascii="Times New Roman" w:hAnsi="Times New Roman"/>
          <w:sz w:val="24"/>
          <w:szCs w:val="24"/>
        </w:rPr>
        <w:t xml:space="preserve">в решение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79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>
        <w:tblPrEx/>
        <w:trPr>
          <w:trHeight w:val="722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ерждено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решением о бюджете от 14.12.2023 г. № 78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Предлагаемые изменение проектом решения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Изменение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% изменения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254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Доходы всего (тыс.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138690,7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138690,7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</w:tr>
      <w:tr>
        <w:tblPrEx/>
        <w:trPr>
          <w:trHeight w:val="143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Налоговые и неналоговые доходы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  <w:t xml:space="preserve">48815,0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szCs w:val="18"/>
                <w:u w:val="none"/>
              </w:rPr>
              <w:t xml:space="preserve">48815,0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175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Безвозмездные поступления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  <w:t xml:space="preserve">89875,7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szCs w:val="18"/>
                <w:u w:val="none"/>
              </w:rPr>
              <w:t xml:space="preserve">89875,7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221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Расходы всего (тыс. 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  <w:t xml:space="preserve">138690,7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172431,4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+33740,7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+24,3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blPrEx/>
        <w:trPr>
          <w:trHeight w:val="391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Дефицит (-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профицит (+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бюджета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-33740,7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-33740,7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*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плановый объем доходов бюджета в 2024 году проектом решения не изменяется</w:t>
      </w:r>
      <w:r>
        <w:rPr>
          <w:rFonts w:ascii="Times New Roman" w:hAnsi="Times New Roman"/>
          <w:sz w:val="28"/>
          <w:szCs w:val="28"/>
        </w:rPr>
        <w:t xml:space="preserve"> и составит </w:t>
      </w:r>
      <w:r>
        <w:rPr>
          <w:rFonts w:ascii="Times New Roman" w:hAnsi="Times New Roman"/>
          <w:sz w:val="28"/>
          <w:szCs w:val="28"/>
        </w:rPr>
        <w:t xml:space="preserve">138690,7</w:t>
      </w:r>
      <w:r>
        <w:rPr>
          <w:rFonts w:ascii="Times New Roman" w:hAnsi="Times New Roman"/>
          <w:sz w:val="28"/>
          <w:szCs w:val="28"/>
        </w:rPr>
        <w:t xml:space="preserve"> тыс. рублей. План поступлений налоговых и неналоговых доходов составит 48815,0 тыс. рублей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  <w:highlight w:val="white"/>
        </w:rPr>
        <w:t xml:space="preserve">ъем безвозмездных поступлений </w:t>
      </w:r>
      <w:r>
        <w:rPr>
          <w:rFonts w:ascii="Times New Roman" w:hAnsi="Times New Roman"/>
          <w:sz w:val="28"/>
          <w:szCs w:val="28"/>
          <w:highlight w:val="white"/>
        </w:rPr>
        <w:t xml:space="preserve">составит </w:t>
      </w:r>
      <w:r>
        <w:rPr>
          <w:rFonts w:ascii="Times New Roman" w:hAnsi="Times New Roman"/>
          <w:sz w:val="28"/>
          <w:szCs w:val="28"/>
          <w:highlight w:val="white"/>
        </w:rPr>
        <w:t xml:space="preserve">89875,7 </w:t>
      </w:r>
      <w:r>
        <w:rPr>
          <w:rFonts w:ascii="Times New Roman" w:hAnsi="Times New Roman"/>
          <w:sz w:val="28"/>
          <w:szCs w:val="28"/>
          <w:highlight w:val="white"/>
        </w:rPr>
        <w:t xml:space="preserve">тыс. рублей.</w:t>
      </w:r>
      <w:r>
        <w:rPr>
          <w:rFonts w:ascii="Times New Roman" w:hAnsi="Times New Roman"/>
          <w:sz w:val="28"/>
          <w:szCs w:val="28"/>
        </w:rPr>
        <w:t xml:space="preserve"> Доля безвозмездных поступлений в общем объеме доходов поселения – </w:t>
      </w:r>
      <w:r>
        <w:rPr>
          <w:rFonts w:ascii="Times New Roman" w:hAnsi="Times New Roman"/>
          <w:sz w:val="28"/>
          <w:szCs w:val="28"/>
        </w:rPr>
        <w:t xml:space="preserve">64,8</w:t>
      </w:r>
      <w:r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>
        <w:rPr>
          <w:rFonts w:ascii="Times New Roman" w:hAnsi="Times New Roman"/>
          <w:sz w:val="28"/>
          <w:szCs w:val="28"/>
        </w:rPr>
        <w:t xml:space="preserve">35,2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Расходная часть бюджета увеличится на </w:t>
      </w:r>
      <w:r>
        <w:rPr>
          <w:rFonts w:ascii="Times New Roman" w:hAnsi="Times New Roman"/>
          <w:sz w:val="28"/>
          <w:szCs w:val="28"/>
        </w:rPr>
        <w:t xml:space="preserve">33740,7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на 24,3</w:t>
      </w:r>
      <w:r>
        <w:rPr>
          <w:rFonts w:ascii="Times New Roman" w:hAnsi="Times New Roman"/>
          <w:sz w:val="28"/>
          <w:szCs w:val="28"/>
        </w:rPr>
        <w:t xml:space="preserve">%, за счет остатка средств на счетах на 01 января 2024 г. и составит </w:t>
      </w:r>
      <w:r>
        <w:rPr>
          <w:rFonts w:ascii="Times New Roman" w:hAnsi="Times New Roman"/>
          <w:sz w:val="28"/>
          <w:szCs w:val="28"/>
        </w:rPr>
        <w:t xml:space="preserve">172431,4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результате произведенных изменений сформировался дефицит бюджета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 xml:space="preserve">33740,7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Объем дефицита соответствует нормам статьи 92.1 Бюджетного кодекса Российской Федерации.</w:t>
      </w:r>
      <w:r>
        <w:rPr>
          <w:rFonts w:ascii="Times New Roman" w:hAnsi="Times New Roman"/>
          <w:sz w:val="28"/>
          <w:szCs w:val="28"/>
        </w:rPr>
        <w:t xml:space="preserve"> Источник финансирования дефицита бюджета - изменение средств на счетах бюджета по состоянию на 01.01.2024 года.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Изменения, внесенные в расходную часть бюджета</w:t>
      </w:r>
      <w:r>
        <w:rPr>
          <w:rFonts w:ascii="Times New Roman" w:hAnsi="Times New Roman"/>
          <w:sz w:val="28"/>
          <w:szCs w:val="28"/>
        </w:rPr>
        <w:t xml:space="preserve"> на 2024 год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разрезе разделов, подразделов </w:t>
      </w:r>
      <w:r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к Заключению.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Проектом решения предлагается увеличить </w:t>
      </w:r>
      <w:r>
        <w:rPr>
          <w:rFonts w:ascii="Times New Roman" w:hAnsi="Times New Roman"/>
          <w:sz w:val="28"/>
          <w:szCs w:val="28"/>
        </w:rPr>
        <w:t xml:space="preserve">плановые ассигнования </w:t>
      </w:r>
      <w:r>
        <w:rPr>
          <w:rFonts w:ascii="Times New Roman" w:hAnsi="Times New Roman"/>
          <w:b/>
          <w:sz w:val="28"/>
          <w:szCs w:val="28"/>
        </w:rPr>
        <w:t xml:space="preserve">по разделу 01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на 1600,0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 xml:space="preserve">+11,1%).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Общий объем средств по разделу к утверждению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составляет 16077,2 тыс. рублей.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Доля раздела в общих расходах бюджета после изменения составит </w:t>
      </w:r>
      <w:r>
        <w:rPr>
          <w:rFonts w:ascii="Times New Roman" w:hAnsi="Times New Roman"/>
          <w:sz w:val="28"/>
          <w:szCs w:val="28"/>
        </w:rPr>
        <w:t xml:space="preserve">9,3 %.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 xml:space="preserve">подразделу 0113 «Другие общегосударственные вопросы»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ассигнования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в увеличиваются </w:t>
      </w:r>
      <w:r>
        <w:rPr>
          <w:rFonts w:ascii="Times New Roman" w:hAnsi="Times New Roman"/>
          <w:sz w:val="28"/>
          <w:szCs w:val="28"/>
          <w:highlight w:val="none"/>
        </w:rPr>
        <w:t xml:space="preserve">на 1600,0 тыс.рублей (+152,4%)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Увеличиваются расходы на </w:t>
      </w:r>
      <w:r>
        <w:rPr>
          <w:rFonts w:ascii="Times New Roman" w:hAnsi="Times New Roman"/>
          <w:sz w:val="28"/>
          <w:szCs w:val="28"/>
        </w:rPr>
        <w:t xml:space="preserve">текущий ремонт помещений, находящихся в муниципальной казне (ремонт городской бани).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</w:rPr>
        <w:t xml:space="preserve">Проектом решения предлагается увеличение</w:t>
      </w:r>
      <w:r>
        <w:rPr>
          <w:rFonts w:ascii="Times New Roman" w:hAnsi="Times New Roman"/>
          <w:sz w:val="28"/>
          <w:szCs w:val="28"/>
        </w:rPr>
        <w:t xml:space="preserve"> плановых ассигнований </w:t>
      </w:r>
      <w:r>
        <w:rPr>
          <w:rFonts w:ascii="Times New Roman" w:hAnsi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разделу  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в сумме 50,0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 xml:space="preserve">+3,4 %).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Общий объем средств по разделу к утверждению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составляет 1530,0 тыс. рублей.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Доля раздела в общих расходах бюджета после изменения составит </w:t>
      </w:r>
      <w:r>
        <w:rPr>
          <w:rFonts w:ascii="Times New Roman" w:hAnsi="Times New Roman"/>
          <w:sz w:val="28"/>
          <w:szCs w:val="28"/>
        </w:rPr>
        <w:t xml:space="preserve">0,9 %.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 xml:space="preserve">подразделу 0310 «Защита населения и территории от  чрезвычайных ситуаций природного и техногенного характера, пожарная безопасность»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расходы увеличиваются на 50,0 тыс. рублей на предупреждение и ликвидацию последствий чрезвычайных ситуаций и стихийных бедствий природного и техногенного характера ( расходы на круглосуточное дежурство спасателей).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Проектом решения предлагается увеличить плановые ассигнования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05 «Жилищно-коммунальное хозяйство»  </w:t>
      </w:r>
      <w:r>
        <w:rPr>
          <w:rFonts w:ascii="Times New Roman" w:hAnsi="Times New Roman"/>
          <w:sz w:val="28"/>
          <w:szCs w:val="28"/>
          <w:lang w:eastAsia="ru-RU"/>
        </w:rPr>
        <w:t xml:space="preserve">на 32090,7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 (</w:t>
      </w:r>
      <w:r>
        <w:rPr>
          <w:rFonts w:ascii="Times New Roman" w:hAnsi="Times New Roman"/>
          <w:sz w:val="28"/>
          <w:szCs w:val="28"/>
          <w:lang w:eastAsia="ru-RU"/>
        </w:rPr>
        <w:t xml:space="preserve">+31,2%),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Общий объем средств по разделу к утверждению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–134896,1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78,2%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общих расходах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подразделу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0503 «Благоустройство</w:t>
      </w:r>
      <w:r>
        <w:rPr>
          <w:rFonts w:ascii="Times New Roman" w:hAnsi="Times New Roman"/>
          <w:sz w:val="28"/>
          <w:szCs w:val="28"/>
        </w:rPr>
        <w:t xml:space="preserve">» ассигнования увеличиваются на 32090,7 тыс. рублей (+183,3%).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роектом решения предлагается </w:t>
      </w:r>
      <w:r>
        <w:rPr>
          <w:rFonts w:ascii="Times New Roman" w:hAnsi="Times New Roman"/>
          <w:sz w:val="28"/>
          <w:szCs w:val="28"/>
        </w:rPr>
        <w:t xml:space="preserve">увеличить расходы на реализацию проекта «Музыка на берегу. Благоустройство парка культуры и отдыха с восстановлением танцевальной площадки».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Проектом решения не изменяются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объемы финансирования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униципальных  программ.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программ в 2024 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составит 87163,8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50,5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расходов.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Проектом решения вносятся соответствующие изменения в приложения к решению Городского Совета МО «Город</w:t>
      </w:r>
      <w:r>
        <w:rPr>
          <w:rFonts w:ascii="Times New Roman" w:hAnsi="Times New Roman"/>
          <w:sz w:val="28"/>
          <w:szCs w:val="28"/>
          <w:lang w:eastAsia="ru-RU"/>
        </w:rPr>
        <w:t xml:space="preserve"> Вытегра» от 14.12.2023 г. № 78</w:t>
      </w:r>
      <w:r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>
        <w:rPr>
          <w:rFonts w:ascii="Times New Roman" w:hAnsi="Times New Roman"/>
          <w:sz w:val="28"/>
          <w:szCs w:val="28"/>
          <w:lang w:eastAsia="ru-RU"/>
        </w:rPr>
        <w:t xml:space="preserve">азования «Город Вытегра» на 2024 год и плановый период 2025 и 2026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 решения 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24.05.2022 № 82н «О Порядке формирования и применения ко</w:t>
      </w:r>
      <w:r>
        <w:rPr>
          <w:rFonts w:ascii="Times New Roman" w:hAnsi="Times New Roman"/>
          <w:sz w:val="28"/>
          <w:szCs w:val="28"/>
          <w:lang w:eastAsia="ru-RU"/>
        </w:rPr>
        <w:t xml:space="preserve">дов бюджетной класс</w:t>
      </w:r>
      <w:r>
        <w:rPr>
          <w:rFonts w:ascii="Times New Roman" w:hAnsi="Times New Roman"/>
          <w:sz w:val="28"/>
          <w:szCs w:val="28"/>
          <w:lang w:eastAsia="ru-RU"/>
        </w:rPr>
        <w:t xml:space="preserve">ификации Российской Федерации, их структуре и принципах назначения» ( ред. 01.06.2023), приказом Министерства финансов РФ </w:t>
      </w:r>
      <w:r>
        <w:rPr>
          <w:rFonts w:ascii="Times New Roman" w:hAnsi="Times New Roman"/>
          <w:sz w:val="28"/>
          <w:szCs w:val="28"/>
        </w:rPr>
        <w:t xml:space="preserve">от 01.06.2023 № 80н</w:t>
      </w:r>
      <w:r>
        <w:rPr>
          <w:rFonts w:ascii="Times New Roman" w:hAnsi="Times New Roman"/>
          <w:sz w:val="28"/>
          <w:szCs w:val="28"/>
        </w:rPr>
        <w:t xml:space="preserve">«Об утверждении кодов (перечней кодов) бюджетной классификации Российской Федерации на 2024 год (на 2024 год и на плановый период 2025 и 2026 годов)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Анализ вносимых изменений позволяет сделать вывод об их обоснованности и целесообразности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 </w: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        Выводы и предложения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</w:t>
      </w:r>
      <w:r>
        <w:rPr>
          <w:rFonts w:ascii="Times New Roman" w:hAnsi="Times New Roman"/>
          <w:sz w:val="28"/>
          <w:szCs w:val="28"/>
        </w:rPr>
        <w:t xml:space="preserve">ия «Город Вытегра» от 14</w:t>
      </w:r>
      <w:r>
        <w:rPr>
          <w:rFonts w:ascii="Times New Roman" w:hAnsi="Times New Roman"/>
          <w:sz w:val="28"/>
          <w:szCs w:val="28"/>
        </w:rPr>
        <w:t xml:space="preserve">.12.2</w:t>
      </w:r>
      <w:r>
        <w:rPr>
          <w:rFonts w:ascii="Times New Roman" w:hAnsi="Times New Roman"/>
          <w:sz w:val="28"/>
          <w:szCs w:val="28"/>
        </w:rPr>
        <w:t xml:space="preserve">023 № 78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Бюджетног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>
        <w:rPr>
          <w:rFonts w:ascii="Times New Roman" w:hAnsi="Times New Roman"/>
          <w:sz w:val="28"/>
          <w:szCs w:val="28"/>
        </w:rPr>
        <w:t xml:space="preserve">Гор</w:t>
      </w:r>
      <w:r>
        <w:rPr>
          <w:rFonts w:ascii="Times New Roman" w:hAnsi="Times New Roman"/>
          <w:sz w:val="28"/>
          <w:szCs w:val="28"/>
        </w:rPr>
        <w:t xml:space="preserve">од Вытегра» 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рекомендуется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 рассмотрению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И.А. Парфенова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851" w:right="567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8"/>
  </w:num>
  <w:num w:numId="5">
    <w:abstractNumId w:val="19"/>
  </w:num>
  <w:num w:numId="6">
    <w:abstractNumId w:val="0"/>
  </w:num>
  <w:num w:numId="7">
    <w:abstractNumId w:val="16"/>
  </w:num>
  <w:num w:numId="8">
    <w:abstractNumId w:val="9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12"/>
  </w:num>
  <w:num w:numId="16">
    <w:abstractNumId w:val="21"/>
  </w:num>
  <w:num w:numId="17">
    <w:abstractNumId w:val="2"/>
  </w:num>
  <w:num w:numId="18">
    <w:abstractNumId w:val="6"/>
  </w:num>
  <w:num w:numId="19">
    <w:abstractNumId w:val="15"/>
  </w:num>
  <w:num w:numId="20">
    <w:abstractNumId w:val="14"/>
  </w:num>
  <w:num w:numId="21">
    <w:abstractNumId w:val="4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4"/>
    <w:next w:val="874"/>
    <w:link w:val="70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1">
    <w:name w:val="Heading 1 Char"/>
    <w:basedOn w:val="876"/>
    <w:link w:val="700"/>
    <w:uiPriority w:val="9"/>
    <w:rPr>
      <w:rFonts w:ascii="Arial" w:hAnsi="Arial" w:eastAsia="Arial" w:cs="Arial"/>
      <w:sz w:val="40"/>
      <w:szCs w:val="40"/>
    </w:rPr>
  </w:style>
  <w:style w:type="character" w:styleId="702">
    <w:name w:val="Heading 2 Char"/>
    <w:basedOn w:val="876"/>
    <w:link w:val="875"/>
    <w:uiPriority w:val="9"/>
    <w:rPr>
      <w:rFonts w:ascii="Arial" w:hAnsi="Arial" w:eastAsia="Arial" w:cs="Arial"/>
      <w:sz w:val="34"/>
    </w:rPr>
  </w:style>
  <w:style w:type="paragraph" w:styleId="703">
    <w:name w:val="Heading 3"/>
    <w:basedOn w:val="874"/>
    <w:next w:val="874"/>
    <w:link w:val="70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4">
    <w:name w:val="Heading 3 Char"/>
    <w:basedOn w:val="876"/>
    <w:link w:val="703"/>
    <w:uiPriority w:val="9"/>
    <w:rPr>
      <w:rFonts w:ascii="Arial" w:hAnsi="Arial" w:eastAsia="Arial" w:cs="Arial"/>
      <w:sz w:val="30"/>
      <w:szCs w:val="30"/>
    </w:rPr>
  </w:style>
  <w:style w:type="paragraph" w:styleId="705">
    <w:name w:val="Heading 4"/>
    <w:basedOn w:val="874"/>
    <w:next w:val="874"/>
    <w:link w:val="7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6">
    <w:name w:val="Heading 4 Char"/>
    <w:basedOn w:val="876"/>
    <w:link w:val="705"/>
    <w:uiPriority w:val="9"/>
    <w:rPr>
      <w:rFonts w:ascii="Arial" w:hAnsi="Arial" w:eastAsia="Arial" w:cs="Arial"/>
      <w:b/>
      <w:bCs/>
      <w:sz w:val="26"/>
      <w:szCs w:val="26"/>
    </w:rPr>
  </w:style>
  <w:style w:type="paragraph" w:styleId="707">
    <w:name w:val="Heading 5"/>
    <w:basedOn w:val="874"/>
    <w:next w:val="874"/>
    <w:link w:val="7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8">
    <w:name w:val="Heading 5 Char"/>
    <w:basedOn w:val="876"/>
    <w:link w:val="707"/>
    <w:uiPriority w:val="9"/>
    <w:rPr>
      <w:rFonts w:ascii="Arial" w:hAnsi="Arial" w:eastAsia="Arial" w:cs="Arial"/>
      <w:b/>
      <w:bCs/>
      <w:sz w:val="24"/>
      <w:szCs w:val="24"/>
    </w:rPr>
  </w:style>
  <w:style w:type="paragraph" w:styleId="709">
    <w:name w:val="Heading 6"/>
    <w:basedOn w:val="874"/>
    <w:next w:val="874"/>
    <w:link w:val="71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0">
    <w:name w:val="Heading 6 Char"/>
    <w:basedOn w:val="876"/>
    <w:link w:val="709"/>
    <w:uiPriority w:val="9"/>
    <w:rPr>
      <w:rFonts w:ascii="Arial" w:hAnsi="Arial" w:eastAsia="Arial" w:cs="Arial"/>
      <w:b/>
      <w:bCs/>
      <w:sz w:val="22"/>
      <w:szCs w:val="22"/>
    </w:rPr>
  </w:style>
  <w:style w:type="paragraph" w:styleId="711">
    <w:name w:val="Heading 7"/>
    <w:basedOn w:val="874"/>
    <w:next w:val="874"/>
    <w:link w:val="7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2">
    <w:name w:val="Heading 7 Char"/>
    <w:basedOn w:val="876"/>
    <w:link w:val="7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3">
    <w:name w:val="Heading 8"/>
    <w:basedOn w:val="874"/>
    <w:next w:val="874"/>
    <w:link w:val="71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4">
    <w:name w:val="Heading 8 Char"/>
    <w:basedOn w:val="876"/>
    <w:link w:val="713"/>
    <w:uiPriority w:val="9"/>
    <w:rPr>
      <w:rFonts w:ascii="Arial" w:hAnsi="Arial" w:eastAsia="Arial" w:cs="Arial"/>
      <w:i/>
      <w:iCs/>
      <w:sz w:val="22"/>
      <w:szCs w:val="22"/>
    </w:rPr>
  </w:style>
  <w:style w:type="paragraph" w:styleId="715">
    <w:name w:val="Heading 9"/>
    <w:basedOn w:val="874"/>
    <w:next w:val="874"/>
    <w:link w:val="71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>
    <w:name w:val="Heading 9 Char"/>
    <w:basedOn w:val="876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17">
    <w:name w:val="Title"/>
    <w:basedOn w:val="874"/>
    <w:next w:val="874"/>
    <w:link w:val="7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8">
    <w:name w:val="Title Char"/>
    <w:basedOn w:val="876"/>
    <w:link w:val="717"/>
    <w:uiPriority w:val="10"/>
    <w:rPr>
      <w:sz w:val="48"/>
      <w:szCs w:val="48"/>
    </w:rPr>
  </w:style>
  <w:style w:type="paragraph" w:styleId="719">
    <w:name w:val="Subtitle"/>
    <w:basedOn w:val="874"/>
    <w:next w:val="874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>
    <w:name w:val="Subtitle Char"/>
    <w:basedOn w:val="876"/>
    <w:link w:val="719"/>
    <w:uiPriority w:val="11"/>
    <w:rPr>
      <w:sz w:val="24"/>
      <w:szCs w:val="24"/>
    </w:rPr>
  </w:style>
  <w:style w:type="paragraph" w:styleId="721">
    <w:name w:val="Quote"/>
    <w:basedOn w:val="874"/>
    <w:next w:val="874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4"/>
    <w:next w:val="874"/>
    <w:link w:val="7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paragraph" w:styleId="725">
    <w:name w:val="Header"/>
    <w:basedOn w:val="874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Header Char"/>
    <w:basedOn w:val="876"/>
    <w:link w:val="725"/>
    <w:uiPriority w:val="99"/>
  </w:style>
  <w:style w:type="paragraph" w:styleId="727">
    <w:name w:val="Footer"/>
    <w:basedOn w:val="874"/>
    <w:link w:val="7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8">
    <w:name w:val="Footer Char"/>
    <w:basedOn w:val="876"/>
    <w:link w:val="727"/>
    <w:uiPriority w:val="99"/>
  </w:style>
  <w:style w:type="paragraph" w:styleId="729">
    <w:name w:val="Caption"/>
    <w:basedOn w:val="874"/>
    <w:next w:val="8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0">
    <w:name w:val="Caption Char"/>
    <w:basedOn w:val="729"/>
    <w:link w:val="727"/>
    <w:uiPriority w:val="99"/>
  </w:style>
  <w:style w:type="table" w:styleId="731">
    <w:name w:val="Table Grid Light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7">
    <w:name w:val="Grid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9">
    <w:name w:val="Grid Table 4 - Accent 1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0">
    <w:name w:val="Grid Table 4 - Accent 2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Grid Table 4 - Accent 3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2">
    <w:name w:val="Grid Table 4 - Accent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Grid Table 4 - Accent 5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4">
    <w:name w:val="Grid Table 4 - Accent 6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5">
    <w:name w:val="Grid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6">
    <w:name w:val="Grid Table 5 Dark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9">
    <w:name w:val="Grid Table 5 Dark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2">
    <w:name w:val="Grid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4">
    <w:name w:val="List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5">
    <w:name w:val="List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6">
    <w:name w:val="List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7">
    <w:name w:val="List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8">
    <w:name w:val="List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9">
    <w:name w:val="List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0">
    <w:name w:val="List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2">
    <w:name w:val="List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3">
    <w:name w:val="List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4">
    <w:name w:val="List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5">
    <w:name w:val="List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6">
    <w:name w:val="List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7">
    <w:name w:val="List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8">
    <w:name w:val="List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0">
    <w:name w:val="List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1">
    <w:name w:val="List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2">
    <w:name w:val="List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3">
    <w:name w:val="List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4">
    <w:name w:val="List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5">
    <w:name w:val="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7">
    <w:name w:val="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8">
    <w:name w:val="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9">
    <w:name w:val="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0">
    <w:name w:val="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1">
    <w:name w:val="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2">
    <w:name w:val="Bordered &amp; 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3">
    <w:name w:val="Bordered &amp; 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4">
    <w:name w:val="Bordered &amp; 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5">
    <w:name w:val="Bordered &amp; 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6">
    <w:name w:val="Bordered &amp; 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7">
    <w:name w:val="Bordered &amp; 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8">
    <w:name w:val="Bordered &amp; 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9">
    <w:name w:val="Bordered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0">
    <w:name w:val="Bordered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1">
    <w:name w:val="Bordered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2">
    <w:name w:val="Bordered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3">
    <w:name w:val="Bordered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4">
    <w:name w:val="Bordered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5">
    <w:name w:val="Bordered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paragraph" w:styleId="857">
    <w:name w:val="footnote text"/>
    <w:basedOn w:val="874"/>
    <w:link w:val="858"/>
    <w:uiPriority w:val="99"/>
    <w:semiHidden/>
    <w:unhideWhenUsed/>
    <w:pPr>
      <w:spacing w:after="40" w:line="240" w:lineRule="auto"/>
    </w:pPr>
    <w:rPr>
      <w:sz w:val="18"/>
    </w:rPr>
  </w:style>
  <w:style w:type="character" w:styleId="858">
    <w:name w:val="Footnote Text Char"/>
    <w:link w:val="857"/>
    <w:uiPriority w:val="99"/>
    <w:rPr>
      <w:sz w:val="18"/>
    </w:rPr>
  </w:style>
  <w:style w:type="character" w:styleId="859">
    <w:name w:val="footnote reference"/>
    <w:basedOn w:val="876"/>
    <w:uiPriority w:val="99"/>
    <w:unhideWhenUsed/>
    <w:rPr>
      <w:vertAlign w:val="superscript"/>
    </w:rPr>
  </w:style>
  <w:style w:type="paragraph" w:styleId="860">
    <w:name w:val="endnote text"/>
    <w:basedOn w:val="874"/>
    <w:link w:val="861"/>
    <w:uiPriority w:val="99"/>
    <w:semiHidden/>
    <w:unhideWhenUsed/>
    <w:pPr>
      <w:spacing w:after="0" w:line="240" w:lineRule="auto"/>
    </w:pPr>
    <w:rPr>
      <w:sz w:val="20"/>
    </w:rPr>
  </w:style>
  <w:style w:type="character" w:styleId="861">
    <w:name w:val="Endnote Text Char"/>
    <w:link w:val="860"/>
    <w:uiPriority w:val="99"/>
    <w:rPr>
      <w:sz w:val="20"/>
    </w:rPr>
  </w:style>
  <w:style w:type="character" w:styleId="862">
    <w:name w:val="endnote reference"/>
    <w:basedOn w:val="876"/>
    <w:uiPriority w:val="99"/>
    <w:semiHidden/>
    <w:unhideWhenUsed/>
    <w:rPr>
      <w:vertAlign w:val="superscript"/>
    </w:rPr>
  </w:style>
  <w:style w:type="paragraph" w:styleId="863">
    <w:name w:val="toc 1"/>
    <w:basedOn w:val="874"/>
    <w:next w:val="874"/>
    <w:uiPriority w:val="39"/>
    <w:unhideWhenUsed/>
    <w:pPr>
      <w:ind w:left="0" w:right="0" w:firstLine="0"/>
      <w:spacing w:after="57"/>
    </w:pPr>
  </w:style>
  <w:style w:type="paragraph" w:styleId="864">
    <w:name w:val="toc 2"/>
    <w:basedOn w:val="874"/>
    <w:next w:val="874"/>
    <w:uiPriority w:val="39"/>
    <w:unhideWhenUsed/>
    <w:pPr>
      <w:ind w:left="283" w:right="0" w:firstLine="0"/>
      <w:spacing w:after="57"/>
    </w:pPr>
  </w:style>
  <w:style w:type="paragraph" w:styleId="865">
    <w:name w:val="toc 3"/>
    <w:basedOn w:val="874"/>
    <w:next w:val="874"/>
    <w:uiPriority w:val="39"/>
    <w:unhideWhenUsed/>
    <w:pPr>
      <w:ind w:left="567" w:right="0" w:firstLine="0"/>
      <w:spacing w:after="57"/>
    </w:pPr>
  </w:style>
  <w:style w:type="paragraph" w:styleId="866">
    <w:name w:val="toc 4"/>
    <w:basedOn w:val="874"/>
    <w:next w:val="874"/>
    <w:uiPriority w:val="39"/>
    <w:unhideWhenUsed/>
    <w:pPr>
      <w:ind w:left="850" w:right="0" w:firstLine="0"/>
      <w:spacing w:after="57"/>
    </w:pPr>
  </w:style>
  <w:style w:type="paragraph" w:styleId="867">
    <w:name w:val="toc 5"/>
    <w:basedOn w:val="874"/>
    <w:next w:val="874"/>
    <w:uiPriority w:val="39"/>
    <w:unhideWhenUsed/>
    <w:pPr>
      <w:ind w:left="1134" w:right="0" w:firstLine="0"/>
      <w:spacing w:after="57"/>
    </w:pPr>
  </w:style>
  <w:style w:type="paragraph" w:styleId="868">
    <w:name w:val="toc 6"/>
    <w:basedOn w:val="874"/>
    <w:next w:val="874"/>
    <w:uiPriority w:val="39"/>
    <w:unhideWhenUsed/>
    <w:pPr>
      <w:ind w:left="1417" w:right="0" w:firstLine="0"/>
      <w:spacing w:after="57"/>
    </w:pPr>
  </w:style>
  <w:style w:type="paragraph" w:styleId="869">
    <w:name w:val="toc 7"/>
    <w:basedOn w:val="874"/>
    <w:next w:val="874"/>
    <w:uiPriority w:val="39"/>
    <w:unhideWhenUsed/>
    <w:pPr>
      <w:ind w:left="1701" w:right="0" w:firstLine="0"/>
      <w:spacing w:after="57"/>
    </w:pPr>
  </w:style>
  <w:style w:type="paragraph" w:styleId="870">
    <w:name w:val="toc 8"/>
    <w:basedOn w:val="874"/>
    <w:next w:val="874"/>
    <w:uiPriority w:val="39"/>
    <w:unhideWhenUsed/>
    <w:pPr>
      <w:ind w:left="1984" w:right="0" w:firstLine="0"/>
      <w:spacing w:after="57"/>
    </w:pPr>
  </w:style>
  <w:style w:type="paragraph" w:styleId="871">
    <w:name w:val="toc 9"/>
    <w:basedOn w:val="874"/>
    <w:next w:val="874"/>
    <w:uiPriority w:val="39"/>
    <w:unhideWhenUsed/>
    <w:pPr>
      <w:ind w:left="2268" w:right="0" w:firstLine="0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874"/>
    <w:next w:val="874"/>
    <w:uiPriority w:val="99"/>
    <w:unhideWhenUsed/>
    <w:pPr>
      <w:spacing w:after="0" w:afterAutospacing="0"/>
    </w:pPr>
  </w:style>
  <w:style w:type="paragraph" w:styleId="874" w:default="1">
    <w:name w:val="Normal"/>
    <w:qFormat/>
    <w:rPr>
      <w:rFonts w:ascii="Calibri" w:hAnsi="Calibri" w:eastAsia="Times New Roman" w:cs="Times New Roman"/>
    </w:rPr>
  </w:style>
  <w:style w:type="paragraph" w:styleId="875">
    <w:name w:val="Heading 2"/>
    <w:basedOn w:val="874"/>
    <w:next w:val="874"/>
    <w:link w:val="889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table" w:styleId="879">
    <w:name w:val="Table Grid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0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1" w:customStyle="1">
    <w:name w:val="Знак"/>
    <w:basedOn w:val="87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82">
    <w:name w:val="Normal (Web)"/>
    <w:basedOn w:val="874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83">
    <w:name w:val="Balloon Text"/>
    <w:basedOn w:val="874"/>
    <w:link w:val="88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4" w:customStyle="1">
    <w:name w:val="Текст выноски Знак"/>
    <w:basedOn w:val="876"/>
    <w:link w:val="883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85">
    <w:name w:val="List Paragraph"/>
    <w:basedOn w:val="874"/>
    <w:uiPriority w:val="34"/>
    <w:qFormat/>
    <w:pPr>
      <w:contextualSpacing/>
      <w:ind w:left="720"/>
    </w:pPr>
  </w:style>
  <w:style w:type="paragraph" w:styleId="886">
    <w:name w:val="Body Text"/>
    <w:basedOn w:val="874"/>
    <w:link w:val="887"/>
    <w:pPr>
      <w:jc w:val="both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styleId="887" w:customStyle="1">
    <w:name w:val="Основной текст Знак"/>
    <w:basedOn w:val="876"/>
    <w:link w:val="886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88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889" w:customStyle="1">
    <w:name w:val="Заголовок 2 Знак"/>
    <w:basedOn w:val="876"/>
    <w:link w:val="875"/>
    <w:uiPriority w:val="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B745-6E52-4E78-B34C-821ED1DB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revision>38</cp:revision>
  <dcterms:created xsi:type="dcterms:W3CDTF">2023-05-30T10:20:00Z</dcterms:created>
  <dcterms:modified xsi:type="dcterms:W3CDTF">2024-02-19T12:01:36Z</dcterms:modified>
</cp:coreProperties>
</file>