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66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«Город Вытегра» «О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«Комплексное развитие систем коммунальной инфраструктуры в сфере водоснабжения и водоотведения муниципального образования «Город Вытегра» Вытегорского муниципального района Вологодской области на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4-202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03.202</w:t>
      </w:r>
      <w:r>
        <w:rPr>
          <w:rFonts w:ascii="Times New Roman" w:hAnsi="Times New Roman"/>
          <w:sz w:val="28"/>
          <w:szCs w:val="28"/>
        </w:rPr>
        <w:t xml:space="preserve">4 г.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Заключение Ревизионной комиссии Вытегорского муниципального района на проект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постановления Администр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ации муниципального образования «Город Вытегра» «О внесении изменений в муниципальную программу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в сфере водоснабжения и водоотведения муниципального образования «Город Вытегра» Вытегорского муниципального района Вологодской области на 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4-202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подготовлено в соответствии с требованиями Бюджет</w:t>
      </w:r>
      <w:r>
        <w:rPr>
          <w:rFonts w:ascii="Times New Roman" w:hAnsi="Times New Roman"/>
          <w:sz w:val="28"/>
          <w:szCs w:val="28"/>
        </w:rPr>
        <w:t xml:space="preserve">ного кодекса Российской Федерации, Положения о Ревизионной комиссии Вытегорского муниципального района.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бщих принципах организации и деятельности 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счетных органов субъектов Российской Федерации, федеральных территорий и муниципальных образований» (с последующими изменениями), Положение о Ревизионной комиссией Вытегорского муниципального района, утвержденное Решением Представительного Собрания 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660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>
        <w:rPr>
          <w:rFonts w:ascii="Times New Roman" w:hAnsi="Times New Roman"/>
          <w:sz w:val="28"/>
          <w:szCs w:val="28"/>
        </w:rPr>
        <w:t xml:space="preserve">соответствия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сфере транспорта</w:t>
      </w:r>
      <w:r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</w:t>
      </w:r>
      <w:r>
        <w:rPr>
          <w:rFonts w:ascii="Times New Roman" w:hAnsi="Times New Roman"/>
          <w:sz w:val="28"/>
          <w:szCs w:val="28"/>
        </w:rPr>
        <w:t xml:space="preserve">емых результатов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</w:t>
      </w:r>
      <w:r>
        <w:rPr>
          <w:rFonts w:ascii="Times New Roman" w:hAnsi="Times New Roman"/>
          <w:sz w:val="28"/>
          <w:szCs w:val="28"/>
        </w:rPr>
        <w:t xml:space="preserve">рка соответствия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 нормативным правовым актам и документам стратегического характера;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анализ структуры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</w:t>
      </w:r>
      <w:r>
        <w:rPr>
          <w:rFonts w:ascii="Times New Roman" w:hAnsi="Times New Roman"/>
          <w:sz w:val="28"/>
          <w:szCs w:val="28"/>
        </w:rPr>
        <w:t xml:space="preserve">ности и контроля муниципальной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проект </w:t>
      </w:r>
      <w:r>
        <w:rPr>
          <w:rFonts w:ascii="Times New Roman" w:hAnsi="Times New Roman"/>
          <w:sz w:val="28"/>
          <w:szCs w:val="28"/>
        </w:rPr>
        <w:t xml:space="preserve">постановления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</w:t>
      </w:r>
      <w:r>
        <w:rPr>
          <w:rFonts w:ascii="Times New Roman" w:hAnsi="Times New Roman"/>
          <w:sz w:val="28"/>
          <w:szCs w:val="28"/>
        </w:rPr>
        <w:t xml:space="preserve"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1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Вытегра»</w:t>
      </w:r>
      <w:r>
        <w:rPr>
          <w:rFonts w:ascii="Times New Roman" w:hAnsi="Times New Roman"/>
          <w:sz w:val="28"/>
          <w:szCs w:val="28"/>
        </w:rPr>
        <w:t xml:space="preserve"> (далее Администрация).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Порядок проведения экспертизы: 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ую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Вытегра»,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«Город Вытегра»  от 04.08.2020  № 301 «Об утверждении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орядка разработки, реализации и оценки эффективности реализации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иципальных программ муниципального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«Город Вытегра»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179 Бюджетного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Парфеновой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рограммы поступил в Ревизионную комиссию с сопроводительным письмом 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19 февраля 2024 года.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01 апреля текущего финансового года.    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 w:eastAsiaTheme="minorHAnsi"/>
          <w:sz w:val="28"/>
          <w:szCs w:val="28"/>
        </w:rPr>
        <w:t xml:space="preserve">Вытегра» от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04.08.2020 №</w:t>
      </w:r>
      <w:r>
        <w:rPr>
          <w:rFonts w:ascii="Times New Roman" w:hAnsi="Times New Roman" w:eastAsiaTheme="minorHAnsi"/>
          <w:sz w:val="28"/>
          <w:szCs w:val="28"/>
        </w:rPr>
        <w:t xml:space="preserve">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 (далее-Порядок)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Вытегра»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в муниципальную программу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в сфере водоснабжения и водоотведения муниципального образования «Город Вытегра» Вытегорского муниципального района Вологодской области на 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4-202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 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муниципального образования «Город Вытегра»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</w:t>
      </w:r>
      <w:r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2023 года № 130 «Об утверждении муниципальной программы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в сфере водоснабжения и водоотведения муниципального образования «Город Вытегра» Вытегорского муниципального района Вологодской области на 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4-202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Изменения в муниципальную программу вносятся в связи с принятием </w:t>
      </w:r>
      <w:r>
        <w:rPr>
          <w:rFonts w:ascii="Times New Roman" w:hAnsi="Times New Roman"/>
          <w:sz w:val="28"/>
          <w:szCs w:val="28"/>
        </w:rPr>
        <w:t xml:space="preserve"> решения 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от 14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2.2023 № 78 «О</w:t>
      </w:r>
      <w:r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Проектом постановления предлагается внести изменения в финансирование муниципальной программы, увеличив общий объем финансирования на 11607,7 тыс. рублей (+16,8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к ранее утвержденным показателям)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Корректируется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бъем финансирования </w:t>
      </w:r>
      <w:r>
        <w:rPr>
          <w:rFonts w:ascii="Times New Roman" w:hAnsi="Times New Roman"/>
          <w:sz w:val="28"/>
          <w:szCs w:val="28"/>
        </w:rPr>
        <w:t xml:space="preserve"> подпрограммы 1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в сфере водоснабжения муниципального образования «Город Вытегра»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 Основному мероприятию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 «Строительство и реконструкция (модернизация) объектов питьевого водоснабжения в рамках регионального проекта «Чистая вода»»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2024 году ассигнования увеличиваются на 11607,6 тыс. рублей (+17,9%)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2025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-2026 г.г. объем ассигнований не меняется.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объем финансирования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в сфере водоснабжения и водоотведения муниципального образования «Город Вытегра» Вытегорского муниципального района Вологодской области на 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4-202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составит 80823,8 тыс. рублей, в том числе в 2024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- 79563,8 тыс. рублей, в 2025-2026 годах в сумме 630,0 тыс. рублей ежегодно.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 в целевые показатели и в ожидаемые результаты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программы проектом постановления не предусмотрены.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Ревизионная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обращает внимание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огласно подпункту 5.5 пункта 5 П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орядка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величение объемов финансирования муниципальной программы (подпрограммы) влечет за собой внесение соответствующих изменений в значения целевых показателей (индикаторов)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муниципальной программы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(подпрограммы)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при условии непосредственного влияния на значения целевых показателей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(индикаторов)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муниципальной программы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(подпрограммы)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, а также если это не нарушает положений правовых актов Вологодской области, соглашений, заключенных с органами государственной власти Вологодской области.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Пояснительная записка к проекту постановления не представлена.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 соответствующие изменения в Паспорта муниципальной программы и подпрограммы 1 и в приложения 3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и подпрограммы 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ходе экспертизы установлено, что </w:t>
      </w:r>
      <w:r>
        <w:rPr>
          <w:rFonts w:ascii="Times New Roman" w:hAnsi="Times New Roman"/>
          <w:sz w:val="28"/>
          <w:szCs w:val="28"/>
          <w:highlight w:val="white"/>
        </w:rPr>
        <w:t xml:space="preserve">в предлагаемом проекте постановления наименование раздела 3 Программы и </w:t>
      </w:r>
      <w:r>
        <w:rPr>
          <w:rFonts w:ascii="Times New Roman" w:hAnsi="Times New Roman"/>
          <w:sz w:val="28"/>
          <w:szCs w:val="28"/>
          <w:highlight w:val="white"/>
        </w:rPr>
        <w:t xml:space="preserve">наименование Приложения 3  </w:t>
      </w:r>
      <w:r>
        <w:rPr>
          <w:rFonts w:ascii="Times New Roman" w:hAnsi="Times New Roman"/>
          <w:sz w:val="28"/>
          <w:szCs w:val="28"/>
          <w:highlight w:val="white"/>
        </w:rPr>
        <w:t xml:space="preserve">не соответствуют наименованию раздела 3 и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Приложения 3</w:t>
      </w:r>
      <w:r>
        <w:rPr>
          <w:rFonts w:ascii="Times New Roman" w:hAnsi="Times New Roman"/>
          <w:sz w:val="28"/>
          <w:szCs w:val="28"/>
          <w:highlight w:val="white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 xml:space="preserve">Ревизионная комиссия предлагает: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    -</w:t>
      </w:r>
      <w:r>
        <w:rPr>
          <w:rFonts w:ascii="Times New Roman" w:hAnsi="Times New Roman"/>
          <w:sz w:val="28"/>
          <w:szCs w:val="28"/>
          <w:highlight w:val="white"/>
        </w:rPr>
        <w:t xml:space="preserve">в проекте постановления наименование раздела 3 Программы и </w:t>
      </w:r>
      <w:r>
        <w:rPr>
          <w:rFonts w:ascii="Times New Roman" w:hAnsi="Times New Roman"/>
          <w:sz w:val="28"/>
          <w:szCs w:val="28"/>
          <w:highlight w:val="white"/>
        </w:rPr>
        <w:t xml:space="preserve">наименование Приложения 3 привести в соответствие с</w:t>
      </w:r>
      <w:r>
        <w:rPr>
          <w:rFonts w:ascii="Times New Roman" w:hAnsi="Times New Roman"/>
          <w:sz w:val="28"/>
          <w:szCs w:val="28"/>
          <w:highlight w:val="white"/>
        </w:rPr>
        <w:t xml:space="preserve"> наименованием раздела 3 и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приложения 3</w:t>
      </w:r>
      <w:r>
        <w:rPr>
          <w:rFonts w:ascii="Times New Roman" w:hAnsi="Times New Roman"/>
          <w:sz w:val="28"/>
          <w:szCs w:val="28"/>
          <w:highlight w:val="white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  <w:r>
        <w:rPr>
          <w:rFonts w:ascii="Times New Roman" w:hAnsi="Times New Roman"/>
          <w:color w:val="000000"/>
          <w:sz w:val="28"/>
          <w:szCs w:val="28"/>
          <w:highlight w:val="yellow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постановления Админист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рации муниципального образования «Город Вытегра»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в муниципальную программу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в сфере водоснабжения и водоотведения муниципального образования «Город Вытегра» Вытегорского муниципального района Вологодской области на 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4-202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гг.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Бюджетно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 не в полной мере соответствует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утвержденному 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Вытегра»  от</w:t>
      </w:r>
      <w:r>
        <w:rPr>
          <w:rFonts w:ascii="Times New Roman" w:hAnsi="Times New Roman"/>
          <w:sz w:val="28"/>
          <w:szCs w:val="28"/>
          <w:lang w:eastAsia="ru-RU"/>
        </w:rPr>
        <w:t xml:space="preserve"> 04.08.2020  № 301 «Об утверждении Порядка разработки, реализации и оценки эффективности реализации муниципальных программ муниципального образования «Город Вытегра».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Вытегорского 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рекомендует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рассмотреть возможность внесения изменений в проект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 замечаний  и предложений, изложенных в заключении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isLgl w:val="false"/>
      <w:suff w:val="tab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1"/>
    <w:next w:val="861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62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61"/>
    <w:next w:val="861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62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61"/>
    <w:next w:val="861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62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1"/>
    <w:next w:val="861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2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1"/>
    <w:next w:val="861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2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2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2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Title"/>
    <w:basedOn w:val="861"/>
    <w:next w:val="861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62"/>
    <w:link w:val="704"/>
    <w:uiPriority w:val="10"/>
    <w:rPr>
      <w:sz w:val="48"/>
      <w:szCs w:val="48"/>
    </w:rPr>
  </w:style>
  <w:style w:type="paragraph" w:styleId="706">
    <w:name w:val="Subtitle"/>
    <w:basedOn w:val="861"/>
    <w:next w:val="861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62"/>
    <w:link w:val="706"/>
    <w:uiPriority w:val="11"/>
    <w:rPr>
      <w:sz w:val="24"/>
      <w:szCs w:val="24"/>
    </w:rPr>
  </w:style>
  <w:style w:type="paragraph" w:styleId="708">
    <w:name w:val="Quote"/>
    <w:basedOn w:val="861"/>
    <w:next w:val="861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1"/>
    <w:next w:val="861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1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2"/>
    <w:link w:val="712"/>
    <w:uiPriority w:val="99"/>
  </w:style>
  <w:style w:type="paragraph" w:styleId="714">
    <w:name w:val="Footer"/>
    <w:basedOn w:val="861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2"/>
    <w:link w:val="714"/>
    <w:uiPriority w:val="99"/>
  </w:style>
  <w:style w:type="paragraph" w:styleId="716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Calibri" w:hAnsi="Calibri" w:eastAsia="Times New Roman" w:cs="Times New Roman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table" w:styleId="865">
    <w:name w:val="Table Grid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 w:customStyle="1">
    <w:name w:val="Знак"/>
    <w:basedOn w:val="86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68">
    <w:name w:val="Normal (Web)"/>
    <w:basedOn w:val="86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69">
    <w:name w:val="Balloon Text"/>
    <w:basedOn w:val="861"/>
    <w:link w:val="87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862"/>
    <w:link w:val="869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1">
    <w:name w:val="List Paragraph"/>
    <w:basedOn w:val="861"/>
    <w:uiPriority w:val="34"/>
    <w:qFormat/>
    <w:pPr>
      <w:contextualSpacing/>
      <w:ind w:left="720"/>
    </w:pPr>
  </w:style>
  <w:style w:type="paragraph" w:styleId="87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table" w:styleId="873" w:customStyle="1">
    <w:name w:val="Сетка таблицы1"/>
    <w:basedOn w:val="863"/>
    <w:next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4" w:customStyle="1">
    <w:name w:val="consplusnormal"/>
    <w:basedOn w:val="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A6E2-51E8-442E-86C2-BE95FFA8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34</cp:revision>
  <dcterms:created xsi:type="dcterms:W3CDTF">2022-02-15T13:17:00Z</dcterms:created>
  <dcterms:modified xsi:type="dcterms:W3CDTF">2024-03-22T05:57:49Z</dcterms:modified>
</cp:coreProperties>
</file>